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autoSpaceDE w:val="0"/>
        <w:autoSpaceDN w:val="0"/>
        <w:adjustRightInd w:val="0"/>
        <w:spacing w:after="120" w:line="288" w:lineRule="auto"/>
        <w:ind w:firstLine="357"/>
        <w:jc w:val="both"/>
        <w:rPr>
          <w:rFonts w:ascii="Arial" w:hAnsi="Arial" w:cs="Arial"/>
          <w:b/>
          <w:bCs/>
          <w:sz w:val="22"/>
          <w:szCs w:val="22"/>
          <w:lang w:val="ro-RO"/>
        </w:rPr>
      </w:pPr>
    </w:p>
    <w:p>
      <w:pPr>
        <w:autoSpaceDE w:val="0"/>
        <w:autoSpaceDN w:val="0"/>
        <w:adjustRightInd w:val="0"/>
        <w:spacing w:after="120" w:line="288" w:lineRule="auto"/>
        <w:ind w:firstLine="357"/>
        <w:jc w:val="both"/>
        <w:rPr>
          <w:rFonts w:ascii="Arial" w:hAnsi="Arial" w:cs="Arial"/>
          <w:b/>
          <w:bCs/>
          <w:sz w:val="22"/>
          <w:szCs w:val="22"/>
          <w:lang w:val="ro-RO"/>
        </w:rPr>
      </w:pPr>
    </w:p>
    <w:p>
      <w:pPr>
        <w:autoSpaceDE w:val="0"/>
        <w:autoSpaceDN w:val="0"/>
        <w:adjustRightInd w:val="0"/>
        <w:spacing w:after="120" w:line="288" w:lineRule="auto"/>
        <w:ind w:firstLine="357"/>
        <w:jc w:val="both"/>
        <w:rPr>
          <w:rFonts w:ascii="Arial" w:hAnsi="Arial" w:cs="Arial"/>
          <w:b/>
          <w:bCs/>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Arial" w:hAnsi="Arial" w:cs="Arial"/>
          <w:sz w:val="22"/>
          <w:szCs w:val="22"/>
          <w:lang w:val="ro-RO"/>
        </w:rPr>
      </w:pPr>
    </w:p>
    <w:p>
      <w:pPr>
        <w:autoSpaceDE w:val="0"/>
        <w:autoSpaceDN w:val="0"/>
        <w:adjustRightInd w:val="0"/>
        <w:spacing w:after="120" w:line="288" w:lineRule="auto"/>
        <w:ind w:firstLine="357"/>
        <w:jc w:val="center"/>
        <w:rPr>
          <w:rFonts w:ascii="Verdana" w:hAnsi="Verdana" w:cs="Verdana"/>
          <w:b/>
          <w:bCs/>
          <w:sz w:val="44"/>
          <w:szCs w:val="44"/>
          <w:lang w:val="ro-RO"/>
        </w:rPr>
      </w:pPr>
      <w:r>
        <w:rPr>
          <w:rFonts w:ascii="Verdana" w:hAnsi="Verdana" w:cs="Verdana"/>
          <w:b/>
          <w:bCs/>
          <w:sz w:val="44"/>
          <w:szCs w:val="44"/>
          <w:lang w:val="ro-RO"/>
        </w:rPr>
        <w:t xml:space="preserve">REGULAMENTUL SERVICIULUI DE </w:t>
      </w:r>
    </w:p>
    <w:p>
      <w:pPr>
        <w:autoSpaceDE w:val="0"/>
        <w:autoSpaceDN w:val="0"/>
        <w:adjustRightInd w:val="0"/>
        <w:spacing w:after="120" w:line="288" w:lineRule="auto"/>
        <w:ind w:firstLine="357"/>
        <w:jc w:val="center"/>
        <w:rPr>
          <w:rFonts w:ascii="Verdana" w:hAnsi="Verdana" w:cs="Verdana"/>
          <w:b/>
          <w:bCs/>
          <w:sz w:val="44"/>
          <w:szCs w:val="44"/>
          <w:lang w:val="ro-RO"/>
        </w:rPr>
      </w:pPr>
      <w:r>
        <w:rPr>
          <w:rFonts w:ascii="Verdana" w:hAnsi="Verdana" w:cs="Verdana"/>
          <w:b/>
          <w:bCs/>
          <w:sz w:val="44"/>
          <w:szCs w:val="44"/>
          <w:lang w:val="ro-RO"/>
        </w:rPr>
        <w:t xml:space="preserve">SALUBRIZARE </w:t>
      </w:r>
    </w:p>
    <w:p>
      <w:pPr>
        <w:autoSpaceDE w:val="0"/>
        <w:autoSpaceDN w:val="0"/>
        <w:adjustRightInd w:val="0"/>
        <w:spacing w:after="120" w:line="288" w:lineRule="auto"/>
        <w:ind w:firstLine="357"/>
        <w:jc w:val="center"/>
        <w:rPr>
          <w:rFonts w:ascii="Verdana" w:hAnsi="Verdana" w:cs="Verdana"/>
          <w:b/>
          <w:bCs/>
          <w:sz w:val="44"/>
          <w:szCs w:val="44"/>
          <w:lang w:val="ro-RO"/>
        </w:rPr>
      </w:pPr>
      <w:r>
        <w:rPr>
          <w:rFonts w:ascii="Verdana" w:hAnsi="Verdana" w:cs="Verdana"/>
          <w:b/>
          <w:bCs/>
          <w:sz w:val="44"/>
          <w:szCs w:val="44"/>
          <w:lang w:val="ro-RO"/>
        </w:rPr>
        <w:t>PENTRU JUDEȚUL CARAȘ-SEVERIN</w:t>
      </w:r>
    </w:p>
    <w:p>
      <w:pPr>
        <w:autoSpaceDE w:val="0"/>
        <w:autoSpaceDN w:val="0"/>
        <w:adjustRightInd w:val="0"/>
        <w:spacing w:after="120" w:line="288" w:lineRule="auto"/>
        <w:ind w:firstLine="357"/>
        <w:rPr>
          <w:rFonts w:ascii="Arial" w:hAnsi="Arial" w:cs="Arial"/>
          <w:b/>
          <w:bCs/>
          <w:sz w:val="32"/>
          <w:szCs w:val="32"/>
          <w:lang w:val="ro-RO"/>
        </w:rPr>
        <w:sectPr>
          <w:headerReference w:type="default" r:id="rId7"/>
          <w:footerReference w:type="default" r:id="rId8"/>
          <w:pgSz w:w="11909" w:h="16834" w:code="9"/>
          <w:pgMar w:top="1440" w:right="1440" w:bottom="1440" w:left="1440" w:header="709" w:footer="709" w:gutter="0"/>
          <w:cols w:space="708"/>
          <w:docGrid w:linePitch="360"/>
        </w:sectPr>
      </w:pPr>
    </w:p>
    <w:p>
      <w:pPr>
        <w:pStyle w:val="TOC2"/>
      </w:pPr>
    </w:p>
    <w:p>
      <w:pPr>
        <w:pStyle w:val="TOC2"/>
      </w:pPr>
      <w:r>
        <w:t>CUPRINS</w:t>
      </w:r>
    </w:p>
    <w:p>
      <w:pPr>
        <w:rPr>
          <w:sz w:val="16"/>
          <w:szCs w:val="16"/>
          <w:lang w:val="ro-RO"/>
        </w:rPr>
      </w:pPr>
    </w:p>
    <w:p>
      <w:pPr>
        <w:pStyle w:val="TOC1"/>
        <w:spacing w:line="312" w:lineRule="auto"/>
        <w:rPr>
          <w:rFonts w:ascii="Calibri" w:hAnsi="Calibri" w:cs="Calibri"/>
          <w:b w:val="0"/>
          <w:bCs w:val="0"/>
          <w:lang w:eastAsia="ro-RO"/>
        </w:rPr>
      </w:pPr>
      <w:r>
        <w:rPr>
          <w:noProof w:val="0"/>
          <w:sz w:val="16"/>
          <w:szCs w:val="16"/>
        </w:rPr>
        <w:fldChar w:fldCharType="begin"/>
      </w:r>
      <w:r>
        <w:rPr>
          <w:noProof w:val="0"/>
          <w:sz w:val="16"/>
          <w:szCs w:val="16"/>
        </w:rPr>
        <w:instrText xml:space="preserve">TOC \o "1-3" \h \z \u </w:instrText>
      </w:r>
      <w:r>
        <w:rPr>
          <w:noProof w:val="0"/>
          <w:sz w:val="16"/>
          <w:szCs w:val="16"/>
        </w:rPr>
        <w:fldChar w:fldCharType="separate"/>
      </w:r>
      <w:hyperlink w:anchor="_Toc41469103" w:history="1">
        <w:r>
          <w:rPr>
            <w:rStyle w:val="Hyperlink"/>
          </w:rPr>
          <w:t>CAPITOLUL I   DISPOZIȚII GENERALE</w:t>
        </w:r>
        <w:r>
          <w:rPr>
            <w:webHidden/>
          </w:rPr>
          <w:tab/>
        </w:r>
        <w:r>
          <w:rPr>
            <w:webHidden/>
          </w:rPr>
          <w:fldChar w:fldCharType="begin"/>
        </w:r>
        <w:r>
          <w:rPr>
            <w:webHidden/>
          </w:rPr>
          <w:instrText xml:space="preserve"> PAGEREF _Toc41469103 \h </w:instrText>
        </w:r>
        <w:r>
          <w:rPr>
            <w:webHidden/>
          </w:rPr>
        </w:r>
        <w:r>
          <w:rPr>
            <w:webHidden/>
          </w:rPr>
          <w:fldChar w:fldCharType="separate"/>
        </w:r>
        <w:r>
          <w:rPr>
            <w:webHidden/>
          </w:rPr>
          <w:t>4</w:t>
        </w:r>
        <w:r>
          <w:rPr>
            <w:webHidden/>
          </w:rPr>
          <w:fldChar w:fldCharType="end"/>
        </w:r>
      </w:hyperlink>
    </w:p>
    <w:p>
      <w:pPr>
        <w:pStyle w:val="TOC2"/>
        <w:spacing w:line="312" w:lineRule="auto"/>
        <w:rPr>
          <w:rFonts w:ascii="Calibri" w:hAnsi="Calibri" w:cs="Calibri"/>
          <w:b w:val="0"/>
          <w:bCs w:val="0"/>
          <w:noProof/>
          <w:sz w:val="20"/>
          <w:szCs w:val="20"/>
          <w:lang w:eastAsia="ro-RO"/>
        </w:rPr>
      </w:pPr>
      <w:hyperlink w:anchor="_Toc41469104" w:history="1">
        <w:r>
          <w:rPr>
            <w:rStyle w:val="Hyperlink"/>
            <w:noProof/>
            <w:sz w:val="20"/>
            <w:szCs w:val="20"/>
          </w:rPr>
          <w:t>SECTIUNEA 1</w:t>
        </w:r>
        <w:r>
          <w:rPr>
            <w:rFonts w:ascii="Calibri" w:hAnsi="Calibri" w:cs="Calibri"/>
            <w:b w:val="0"/>
            <w:bCs w:val="0"/>
            <w:noProof/>
            <w:sz w:val="20"/>
            <w:szCs w:val="20"/>
            <w:lang w:eastAsia="ro-RO"/>
          </w:rPr>
          <w:tab/>
        </w:r>
        <w:r>
          <w:rPr>
            <w:rStyle w:val="Hyperlink"/>
            <w:noProof/>
            <w:sz w:val="20"/>
            <w:szCs w:val="20"/>
          </w:rPr>
          <w:t>Domeniul de aplicare</w:t>
        </w:r>
        <w:r>
          <w:rPr>
            <w:noProof/>
            <w:webHidden/>
            <w:sz w:val="20"/>
            <w:szCs w:val="20"/>
          </w:rPr>
          <w:tab/>
        </w:r>
        <w:r>
          <w:rPr>
            <w:noProof/>
            <w:webHidden/>
            <w:sz w:val="20"/>
            <w:szCs w:val="20"/>
          </w:rPr>
          <w:fldChar w:fldCharType="begin"/>
        </w:r>
        <w:r>
          <w:rPr>
            <w:noProof/>
            <w:webHidden/>
            <w:sz w:val="20"/>
            <w:szCs w:val="20"/>
          </w:rPr>
          <w:instrText xml:space="preserve"> PAGEREF _Toc41469104 \h </w:instrText>
        </w:r>
        <w:r>
          <w:rPr>
            <w:noProof/>
            <w:webHidden/>
            <w:sz w:val="20"/>
            <w:szCs w:val="20"/>
          </w:rPr>
        </w:r>
        <w:r>
          <w:rPr>
            <w:noProof/>
            <w:webHidden/>
            <w:sz w:val="20"/>
            <w:szCs w:val="20"/>
          </w:rPr>
          <w:fldChar w:fldCharType="separate"/>
        </w:r>
        <w:r>
          <w:rPr>
            <w:noProof/>
            <w:webHidden/>
            <w:sz w:val="20"/>
            <w:szCs w:val="20"/>
          </w:rPr>
          <w:t>4</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05" w:history="1">
        <w:r>
          <w:rPr>
            <w:rStyle w:val="Hyperlink"/>
            <w:noProof/>
            <w:sz w:val="20"/>
            <w:szCs w:val="20"/>
          </w:rPr>
          <w:t>SECȚIUNEA 2</w:t>
        </w:r>
        <w:r>
          <w:rPr>
            <w:rFonts w:ascii="Calibri" w:hAnsi="Calibri" w:cs="Calibri"/>
            <w:b w:val="0"/>
            <w:bCs w:val="0"/>
            <w:noProof/>
            <w:sz w:val="20"/>
            <w:szCs w:val="20"/>
            <w:lang w:eastAsia="ro-RO"/>
          </w:rPr>
          <w:tab/>
        </w:r>
        <w:r>
          <w:rPr>
            <w:rStyle w:val="Hyperlink"/>
            <w:noProof/>
            <w:sz w:val="20"/>
            <w:szCs w:val="20"/>
          </w:rPr>
          <w:t>Accesul la serviciul de salubrizare</w:t>
        </w:r>
        <w:r>
          <w:rPr>
            <w:noProof/>
            <w:webHidden/>
            <w:sz w:val="20"/>
            <w:szCs w:val="20"/>
          </w:rPr>
          <w:tab/>
        </w:r>
        <w:r>
          <w:rPr>
            <w:noProof/>
            <w:webHidden/>
            <w:sz w:val="20"/>
            <w:szCs w:val="20"/>
          </w:rPr>
          <w:fldChar w:fldCharType="begin"/>
        </w:r>
        <w:r>
          <w:rPr>
            <w:noProof/>
            <w:webHidden/>
            <w:sz w:val="20"/>
            <w:szCs w:val="20"/>
          </w:rPr>
          <w:instrText xml:space="preserve"> PAGEREF _Toc41469105 \h </w:instrText>
        </w:r>
        <w:r>
          <w:rPr>
            <w:noProof/>
            <w:webHidden/>
            <w:sz w:val="20"/>
            <w:szCs w:val="20"/>
          </w:rPr>
        </w:r>
        <w:r>
          <w:rPr>
            <w:noProof/>
            <w:webHidden/>
            <w:sz w:val="20"/>
            <w:szCs w:val="20"/>
          </w:rPr>
          <w:fldChar w:fldCharType="separate"/>
        </w:r>
        <w:r>
          <w:rPr>
            <w:noProof/>
            <w:webHidden/>
            <w:sz w:val="20"/>
            <w:szCs w:val="20"/>
          </w:rPr>
          <w:t>10</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06" w:history="1">
        <w:r>
          <w:rPr>
            <w:rStyle w:val="Hyperlink"/>
            <w:noProof/>
            <w:sz w:val="20"/>
            <w:szCs w:val="20"/>
          </w:rPr>
          <w:t>SECȚIUNEA 3</w:t>
        </w:r>
        <w:r>
          <w:rPr>
            <w:rFonts w:ascii="Calibri" w:hAnsi="Calibri" w:cs="Calibri"/>
            <w:b w:val="0"/>
            <w:bCs w:val="0"/>
            <w:noProof/>
            <w:sz w:val="20"/>
            <w:szCs w:val="20"/>
            <w:lang w:eastAsia="ro-RO"/>
          </w:rPr>
          <w:tab/>
        </w:r>
        <w:r>
          <w:rPr>
            <w:rStyle w:val="Hyperlink"/>
            <w:noProof/>
            <w:sz w:val="20"/>
            <w:szCs w:val="20"/>
          </w:rPr>
          <w:t>Documentația tehnică</w:t>
        </w:r>
        <w:r>
          <w:rPr>
            <w:noProof/>
            <w:webHidden/>
            <w:sz w:val="20"/>
            <w:szCs w:val="20"/>
          </w:rPr>
          <w:tab/>
        </w:r>
        <w:r>
          <w:rPr>
            <w:noProof/>
            <w:webHidden/>
            <w:sz w:val="20"/>
            <w:szCs w:val="20"/>
          </w:rPr>
          <w:fldChar w:fldCharType="begin"/>
        </w:r>
        <w:r>
          <w:rPr>
            <w:noProof/>
            <w:webHidden/>
            <w:sz w:val="20"/>
            <w:szCs w:val="20"/>
          </w:rPr>
          <w:instrText xml:space="preserve"> PAGEREF _Toc41469106 \h </w:instrText>
        </w:r>
        <w:r>
          <w:rPr>
            <w:noProof/>
            <w:webHidden/>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07" w:history="1">
        <w:r>
          <w:rPr>
            <w:rStyle w:val="Hyperlink"/>
            <w:noProof/>
            <w:sz w:val="20"/>
            <w:szCs w:val="20"/>
          </w:rPr>
          <w:t>SECȚIUNEA 4</w:t>
        </w:r>
        <w:r>
          <w:rPr>
            <w:rFonts w:ascii="Calibri" w:hAnsi="Calibri" w:cs="Calibri"/>
            <w:b w:val="0"/>
            <w:bCs w:val="0"/>
            <w:noProof/>
            <w:sz w:val="20"/>
            <w:szCs w:val="20"/>
            <w:lang w:eastAsia="ro-RO"/>
          </w:rPr>
          <w:tab/>
        </w:r>
        <w:r>
          <w:rPr>
            <w:rStyle w:val="Hyperlink"/>
            <w:noProof/>
            <w:sz w:val="20"/>
            <w:szCs w:val="20"/>
          </w:rPr>
          <w:t>Îndatoririle personalului operativ</w:t>
        </w:r>
        <w:r>
          <w:rPr>
            <w:noProof/>
            <w:webHidden/>
            <w:sz w:val="20"/>
            <w:szCs w:val="20"/>
          </w:rPr>
          <w:tab/>
        </w:r>
        <w:r>
          <w:rPr>
            <w:noProof/>
            <w:webHidden/>
            <w:sz w:val="20"/>
            <w:szCs w:val="20"/>
          </w:rPr>
          <w:fldChar w:fldCharType="begin"/>
        </w:r>
        <w:r>
          <w:rPr>
            <w:noProof/>
            <w:webHidden/>
            <w:sz w:val="20"/>
            <w:szCs w:val="20"/>
          </w:rPr>
          <w:instrText xml:space="preserve"> PAGEREF _Toc41469107 \h </w:instrText>
        </w:r>
        <w:r>
          <w:rPr>
            <w:noProof/>
            <w:webHidden/>
            <w:sz w:val="20"/>
            <w:szCs w:val="20"/>
          </w:rPr>
        </w:r>
        <w:r>
          <w:rPr>
            <w:noProof/>
            <w:webHidden/>
            <w:sz w:val="20"/>
            <w:szCs w:val="20"/>
          </w:rPr>
          <w:fldChar w:fldCharType="separate"/>
        </w:r>
        <w:r>
          <w:rPr>
            <w:noProof/>
            <w:webHidden/>
            <w:sz w:val="20"/>
            <w:szCs w:val="20"/>
          </w:rPr>
          <w:t>14</w:t>
        </w:r>
        <w:r>
          <w:rPr>
            <w:noProof/>
            <w:webHidden/>
            <w:sz w:val="20"/>
            <w:szCs w:val="20"/>
          </w:rPr>
          <w:fldChar w:fldCharType="end"/>
        </w:r>
      </w:hyperlink>
    </w:p>
    <w:p>
      <w:pPr>
        <w:pStyle w:val="TOC1"/>
        <w:tabs>
          <w:tab w:val="left" w:pos="1855"/>
        </w:tabs>
        <w:spacing w:line="312" w:lineRule="auto"/>
        <w:rPr>
          <w:rFonts w:ascii="Calibri" w:hAnsi="Calibri" w:cs="Calibri"/>
          <w:b w:val="0"/>
          <w:bCs w:val="0"/>
          <w:lang w:eastAsia="ro-RO"/>
        </w:rPr>
      </w:pPr>
      <w:hyperlink w:anchor="_Toc41469108" w:history="1">
        <w:r>
          <w:rPr>
            <w:rStyle w:val="Hyperlink"/>
          </w:rPr>
          <w:t>CAPITOLUL II</w:t>
        </w:r>
        <w:r>
          <w:rPr>
            <w:rFonts w:ascii="Calibri" w:hAnsi="Calibri" w:cs="Calibri"/>
            <w:b w:val="0"/>
            <w:bCs w:val="0"/>
            <w:lang w:eastAsia="ro-RO"/>
          </w:rPr>
          <w:tab/>
        </w:r>
        <w:r>
          <w:rPr>
            <w:rStyle w:val="Hyperlink"/>
          </w:rPr>
          <w:t>ASIGURAREA SERVICIULUI DE SALUBRIZARE ȘI CONDIȚII DE FUNCȚIONARE</w:t>
        </w:r>
        <w:r>
          <w:rPr>
            <w:webHidden/>
          </w:rPr>
          <w:tab/>
        </w:r>
        <w:r>
          <w:rPr>
            <w:webHidden/>
          </w:rPr>
          <w:fldChar w:fldCharType="begin"/>
        </w:r>
        <w:r>
          <w:rPr>
            <w:webHidden/>
          </w:rPr>
          <w:instrText xml:space="preserve"> PAGEREF _Toc41469108 \h </w:instrText>
        </w:r>
        <w:r>
          <w:rPr>
            <w:webHidden/>
          </w:rPr>
        </w:r>
        <w:r>
          <w:rPr>
            <w:webHidden/>
          </w:rPr>
          <w:fldChar w:fldCharType="separate"/>
        </w:r>
        <w:r>
          <w:rPr>
            <w:webHidden/>
          </w:rPr>
          <w:t>16</w:t>
        </w:r>
        <w:r>
          <w:rPr>
            <w:webHidden/>
          </w:rPr>
          <w:fldChar w:fldCharType="end"/>
        </w:r>
      </w:hyperlink>
    </w:p>
    <w:p>
      <w:pPr>
        <w:pStyle w:val="TOC2"/>
        <w:spacing w:line="312" w:lineRule="auto"/>
        <w:rPr>
          <w:rFonts w:ascii="Calibri" w:hAnsi="Calibri" w:cs="Calibri"/>
          <w:b w:val="0"/>
          <w:bCs w:val="0"/>
          <w:noProof/>
          <w:sz w:val="20"/>
          <w:szCs w:val="20"/>
          <w:lang w:eastAsia="ro-RO"/>
        </w:rPr>
      </w:pPr>
      <w:hyperlink w:anchor="_Toc41469109" w:history="1">
        <w:r>
          <w:rPr>
            <w:rStyle w:val="Hyperlink"/>
            <w:noProof/>
            <w:sz w:val="20"/>
            <w:szCs w:val="20"/>
          </w:rPr>
          <w:t>SECȚIUNEA 1</w:t>
        </w:r>
        <w:r>
          <w:rPr>
            <w:rFonts w:ascii="Calibri" w:hAnsi="Calibri" w:cs="Calibri"/>
            <w:b w:val="0"/>
            <w:bCs w:val="0"/>
            <w:noProof/>
            <w:sz w:val="20"/>
            <w:szCs w:val="20"/>
            <w:lang w:eastAsia="ro-RO"/>
          </w:rPr>
          <w:tab/>
        </w:r>
        <w:r>
          <w:rPr>
            <w:rStyle w:val="Hyperlink"/>
            <w:noProof/>
            <w:sz w:val="20"/>
            <w:szCs w:val="20"/>
          </w:rPr>
          <w:t>Colectarea separată și transportul separat al deșeurilor municipale și al deșeurilor similare provenind din activități comerciale din industrie și instituții, inclusiv fracții colectate separat</w:t>
        </w:r>
        <w:r>
          <w:rPr>
            <w:noProof/>
            <w:webHidden/>
            <w:sz w:val="20"/>
            <w:szCs w:val="20"/>
          </w:rPr>
          <w:tab/>
        </w:r>
        <w:r>
          <w:rPr>
            <w:noProof/>
            <w:webHidden/>
            <w:sz w:val="20"/>
            <w:szCs w:val="20"/>
          </w:rPr>
          <w:fldChar w:fldCharType="begin"/>
        </w:r>
        <w:r>
          <w:rPr>
            <w:noProof/>
            <w:webHidden/>
            <w:sz w:val="20"/>
            <w:szCs w:val="20"/>
          </w:rPr>
          <w:instrText xml:space="preserve"> PAGEREF _Toc41469109 \h </w:instrText>
        </w:r>
        <w:r>
          <w:rPr>
            <w:noProof/>
            <w:webHidden/>
            <w:sz w:val="20"/>
            <w:szCs w:val="20"/>
          </w:rPr>
        </w:r>
        <w:r>
          <w:rPr>
            <w:noProof/>
            <w:webHidden/>
            <w:sz w:val="20"/>
            <w:szCs w:val="20"/>
          </w:rPr>
          <w:fldChar w:fldCharType="separate"/>
        </w:r>
        <w:r>
          <w:rPr>
            <w:noProof/>
            <w:webHidden/>
            <w:sz w:val="20"/>
            <w:szCs w:val="20"/>
          </w:rPr>
          <w:t>16</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0" w:history="1">
        <w:r>
          <w:rPr>
            <w:rStyle w:val="Hyperlink"/>
            <w:noProof/>
            <w:sz w:val="20"/>
            <w:szCs w:val="20"/>
          </w:rPr>
          <w:t>SECȚIUNEA 2</w:t>
        </w:r>
        <w:r>
          <w:rPr>
            <w:rFonts w:ascii="Calibri" w:hAnsi="Calibri" w:cs="Calibri"/>
            <w:b w:val="0"/>
            <w:bCs w:val="0"/>
            <w:noProof/>
            <w:sz w:val="20"/>
            <w:szCs w:val="20"/>
            <w:lang w:eastAsia="ro-RO"/>
          </w:rPr>
          <w:tab/>
        </w:r>
        <w:r>
          <w:rPr>
            <w:rStyle w:val="Hyperlink"/>
            <w:noProof/>
            <w:sz w:val="20"/>
            <w:szCs w:val="20"/>
          </w:rPr>
          <w:t>Sortarea deșeurilor municipale colectate separat</w:t>
        </w:r>
        <w:r>
          <w:rPr>
            <w:noProof/>
            <w:webHidden/>
            <w:sz w:val="20"/>
            <w:szCs w:val="20"/>
          </w:rPr>
          <w:tab/>
        </w:r>
        <w:r>
          <w:rPr>
            <w:noProof/>
            <w:webHidden/>
            <w:sz w:val="20"/>
            <w:szCs w:val="20"/>
          </w:rPr>
          <w:fldChar w:fldCharType="begin"/>
        </w:r>
        <w:r>
          <w:rPr>
            <w:noProof/>
            <w:webHidden/>
            <w:sz w:val="20"/>
            <w:szCs w:val="20"/>
          </w:rPr>
          <w:instrText xml:space="preserve"> PAGEREF _Toc41469110 \h </w:instrText>
        </w:r>
        <w:r>
          <w:rPr>
            <w:noProof/>
            <w:webHidden/>
            <w:sz w:val="20"/>
            <w:szCs w:val="20"/>
          </w:rPr>
        </w:r>
        <w:r>
          <w:rPr>
            <w:noProof/>
            <w:webHidden/>
            <w:sz w:val="20"/>
            <w:szCs w:val="20"/>
          </w:rPr>
          <w:fldChar w:fldCharType="separate"/>
        </w:r>
        <w:r>
          <w:rPr>
            <w:noProof/>
            <w:webHidden/>
            <w:sz w:val="20"/>
            <w:szCs w:val="20"/>
          </w:rPr>
          <w:t>29</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1" w:history="1">
        <w:r>
          <w:rPr>
            <w:rStyle w:val="Hyperlink"/>
            <w:noProof/>
            <w:sz w:val="20"/>
            <w:szCs w:val="20"/>
          </w:rPr>
          <w:t>SECȚIUNEA 3</w:t>
        </w:r>
        <w:r>
          <w:rPr>
            <w:rFonts w:ascii="Calibri" w:hAnsi="Calibri" w:cs="Calibri"/>
            <w:b w:val="0"/>
            <w:bCs w:val="0"/>
            <w:noProof/>
            <w:sz w:val="20"/>
            <w:szCs w:val="20"/>
            <w:lang w:eastAsia="ro-RO"/>
          </w:rPr>
          <w:tab/>
        </w:r>
        <w:r>
          <w:rPr>
            <w:rStyle w:val="Hyperlink"/>
            <w:noProof/>
            <w:sz w:val="20"/>
            <w:szCs w:val="20"/>
          </w:rPr>
          <w:t>Organizarea prelucrării, neutralizării și valorificării materiale și energetice a deșeurilor</w:t>
        </w:r>
        <w:r>
          <w:rPr>
            <w:noProof/>
            <w:webHidden/>
            <w:sz w:val="20"/>
            <w:szCs w:val="20"/>
          </w:rPr>
          <w:tab/>
        </w:r>
        <w:r>
          <w:rPr>
            <w:noProof/>
            <w:webHidden/>
            <w:sz w:val="20"/>
            <w:szCs w:val="20"/>
          </w:rPr>
          <w:fldChar w:fldCharType="begin"/>
        </w:r>
        <w:r>
          <w:rPr>
            <w:noProof/>
            <w:webHidden/>
            <w:sz w:val="20"/>
            <w:szCs w:val="20"/>
          </w:rPr>
          <w:instrText xml:space="preserve"> PAGEREF _Toc41469111 \h </w:instrText>
        </w:r>
        <w:r>
          <w:rPr>
            <w:noProof/>
            <w:webHidden/>
            <w:sz w:val="20"/>
            <w:szCs w:val="20"/>
          </w:rPr>
        </w:r>
        <w:r>
          <w:rPr>
            <w:noProof/>
            <w:webHidden/>
            <w:sz w:val="20"/>
            <w:szCs w:val="20"/>
          </w:rPr>
          <w:fldChar w:fldCharType="separate"/>
        </w:r>
        <w:r>
          <w:rPr>
            <w:noProof/>
            <w:webHidden/>
            <w:sz w:val="20"/>
            <w:szCs w:val="20"/>
          </w:rPr>
          <w:t>31</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2" w:history="1">
        <w:r>
          <w:rPr>
            <w:rStyle w:val="Hyperlink"/>
            <w:noProof/>
            <w:sz w:val="20"/>
            <w:szCs w:val="20"/>
          </w:rPr>
          <w:t>SECȚIUNEA 4</w:t>
        </w:r>
        <w:r>
          <w:rPr>
            <w:rFonts w:ascii="Calibri" w:hAnsi="Calibri" w:cs="Calibri"/>
            <w:b w:val="0"/>
            <w:bCs w:val="0"/>
            <w:noProof/>
            <w:sz w:val="20"/>
            <w:szCs w:val="20"/>
            <w:lang w:eastAsia="ro-RO"/>
          </w:rPr>
          <w:tab/>
        </w:r>
        <w:r>
          <w:rPr>
            <w:rStyle w:val="Hyperlink"/>
            <w:noProof/>
            <w:sz w:val="20"/>
            <w:szCs w:val="20"/>
          </w:rPr>
          <w:t>Depozitarea controlată a deșeurilor municipale</w:t>
        </w:r>
        <w:r>
          <w:rPr>
            <w:noProof/>
            <w:webHidden/>
            <w:sz w:val="20"/>
            <w:szCs w:val="20"/>
          </w:rPr>
          <w:tab/>
        </w:r>
        <w:r>
          <w:rPr>
            <w:noProof/>
            <w:webHidden/>
            <w:sz w:val="20"/>
            <w:szCs w:val="20"/>
          </w:rPr>
          <w:fldChar w:fldCharType="begin"/>
        </w:r>
        <w:r>
          <w:rPr>
            <w:noProof/>
            <w:webHidden/>
            <w:sz w:val="20"/>
            <w:szCs w:val="20"/>
          </w:rPr>
          <w:instrText xml:space="preserve"> PAGEREF _Toc41469112 \h </w:instrText>
        </w:r>
        <w:r>
          <w:rPr>
            <w:noProof/>
            <w:webHidden/>
            <w:sz w:val="20"/>
            <w:szCs w:val="20"/>
          </w:rPr>
        </w:r>
        <w:r>
          <w:rPr>
            <w:noProof/>
            <w:webHidden/>
            <w:sz w:val="20"/>
            <w:szCs w:val="20"/>
          </w:rPr>
          <w:fldChar w:fldCharType="separate"/>
        </w:r>
        <w:r>
          <w:rPr>
            <w:noProof/>
            <w:webHidden/>
            <w:sz w:val="20"/>
            <w:szCs w:val="20"/>
          </w:rPr>
          <w:t>32</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3" w:history="1">
        <w:r>
          <w:rPr>
            <w:rStyle w:val="Hyperlink"/>
            <w:noProof/>
            <w:sz w:val="20"/>
            <w:szCs w:val="20"/>
          </w:rPr>
          <w:t>SECȚIUNEA 5</w:t>
        </w:r>
        <w:r>
          <w:rPr>
            <w:rFonts w:ascii="Calibri" w:hAnsi="Calibri" w:cs="Calibri"/>
            <w:b w:val="0"/>
            <w:bCs w:val="0"/>
            <w:noProof/>
            <w:sz w:val="20"/>
            <w:szCs w:val="20"/>
            <w:lang w:eastAsia="ro-RO"/>
          </w:rPr>
          <w:tab/>
        </w:r>
        <w:r>
          <w:rPr>
            <w:rStyle w:val="Hyperlink"/>
            <w:noProof/>
            <w:sz w:val="20"/>
            <w:szCs w:val="20"/>
          </w:rPr>
          <w:t>Operarea depozitului conform de la Lupac</w:t>
        </w:r>
        <w:r>
          <w:rPr>
            <w:noProof/>
            <w:webHidden/>
            <w:sz w:val="20"/>
            <w:szCs w:val="20"/>
          </w:rPr>
          <w:tab/>
        </w:r>
        <w:r>
          <w:rPr>
            <w:noProof/>
            <w:webHidden/>
            <w:sz w:val="20"/>
            <w:szCs w:val="20"/>
          </w:rPr>
          <w:fldChar w:fldCharType="begin"/>
        </w:r>
        <w:r>
          <w:rPr>
            <w:noProof/>
            <w:webHidden/>
            <w:sz w:val="20"/>
            <w:szCs w:val="20"/>
          </w:rPr>
          <w:instrText xml:space="preserve"> PAGEREF _Toc41469113 \h </w:instrText>
        </w:r>
        <w:r>
          <w:rPr>
            <w:noProof/>
            <w:webHidden/>
            <w:sz w:val="20"/>
            <w:szCs w:val="20"/>
          </w:rPr>
        </w:r>
        <w:r>
          <w:rPr>
            <w:noProof/>
            <w:webHidden/>
            <w:sz w:val="20"/>
            <w:szCs w:val="20"/>
          </w:rPr>
          <w:fldChar w:fldCharType="separate"/>
        </w:r>
        <w:r>
          <w:rPr>
            <w:noProof/>
            <w:webHidden/>
            <w:sz w:val="20"/>
            <w:szCs w:val="20"/>
          </w:rPr>
          <w:t>34</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4" w:history="1">
        <w:r>
          <w:rPr>
            <w:rStyle w:val="Hyperlink"/>
            <w:noProof/>
            <w:sz w:val="20"/>
            <w:szCs w:val="20"/>
          </w:rPr>
          <w:t>SECȚIUNEA 6</w:t>
        </w:r>
        <w:r>
          <w:rPr>
            <w:rFonts w:ascii="Calibri" w:hAnsi="Calibri" w:cs="Calibri"/>
            <w:b w:val="0"/>
            <w:bCs w:val="0"/>
            <w:noProof/>
            <w:sz w:val="20"/>
            <w:szCs w:val="20"/>
            <w:lang w:eastAsia="ro-RO"/>
          </w:rPr>
          <w:tab/>
        </w:r>
        <w:r>
          <w:rPr>
            <w:rStyle w:val="Hyperlink"/>
            <w:noProof/>
            <w:sz w:val="20"/>
            <w:szCs w:val="20"/>
          </w:rPr>
          <w:t>Colectarea, transportul, valorificarea și eliminarea deșeurilor voluminoase</w:t>
        </w:r>
        <w:r>
          <w:rPr>
            <w:noProof/>
            <w:webHidden/>
            <w:sz w:val="20"/>
            <w:szCs w:val="20"/>
          </w:rPr>
          <w:tab/>
        </w:r>
        <w:r>
          <w:rPr>
            <w:noProof/>
            <w:webHidden/>
            <w:sz w:val="20"/>
            <w:szCs w:val="20"/>
          </w:rPr>
          <w:fldChar w:fldCharType="begin"/>
        </w:r>
        <w:r>
          <w:rPr>
            <w:noProof/>
            <w:webHidden/>
            <w:sz w:val="20"/>
            <w:szCs w:val="20"/>
          </w:rPr>
          <w:instrText xml:space="preserve"> PAGEREF _Toc41469114 \h </w:instrText>
        </w:r>
        <w:r>
          <w:rPr>
            <w:noProof/>
            <w:webHidden/>
            <w:sz w:val="20"/>
            <w:szCs w:val="20"/>
          </w:rPr>
        </w:r>
        <w:r>
          <w:rPr>
            <w:noProof/>
            <w:webHidden/>
            <w:sz w:val="20"/>
            <w:szCs w:val="20"/>
          </w:rPr>
          <w:fldChar w:fldCharType="separate"/>
        </w:r>
        <w:r>
          <w:rPr>
            <w:noProof/>
            <w:webHidden/>
            <w:sz w:val="20"/>
            <w:szCs w:val="20"/>
          </w:rPr>
          <w:t>39</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5" w:history="1">
        <w:r>
          <w:rPr>
            <w:rStyle w:val="Hyperlink"/>
            <w:noProof/>
            <w:sz w:val="20"/>
            <w:szCs w:val="20"/>
          </w:rPr>
          <w:t>SECȚIUNEA 7</w:t>
        </w:r>
        <w:r>
          <w:rPr>
            <w:rFonts w:ascii="Calibri" w:hAnsi="Calibri" w:cs="Calibri"/>
            <w:b w:val="0"/>
            <w:bCs w:val="0"/>
            <w:noProof/>
            <w:sz w:val="20"/>
            <w:szCs w:val="20"/>
            <w:lang w:eastAsia="ro-RO"/>
          </w:rPr>
          <w:tab/>
        </w:r>
        <w:r>
          <w:rPr>
            <w:rStyle w:val="Hyperlink"/>
            <w:noProof/>
            <w:sz w:val="20"/>
            <w:szCs w:val="20"/>
          </w:rPr>
          <w:t>Colectarea și transportul deșeurilor de echipamente electrice și electronice</w:t>
        </w:r>
        <w:r>
          <w:rPr>
            <w:noProof/>
            <w:webHidden/>
            <w:sz w:val="20"/>
            <w:szCs w:val="20"/>
          </w:rPr>
          <w:tab/>
        </w:r>
        <w:r>
          <w:rPr>
            <w:noProof/>
            <w:webHidden/>
            <w:sz w:val="20"/>
            <w:szCs w:val="20"/>
          </w:rPr>
          <w:fldChar w:fldCharType="begin"/>
        </w:r>
        <w:r>
          <w:rPr>
            <w:noProof/>
            <w:webHidden/>
            <w:sz w:val="20"/>
            <w:szCs w:val="20"/>
          </w:rPr>
          <w:instrText xml:space="preserve"> PAGEREF _Toc41469115 \h </w:instrText>
        </w:r>
        <w:r>
          <w:rPr>
            <w:noProof/>
            <w:webHidden/>
            <w:sz w:val="20"/>
            <w:szCs w:val="20"/>
          </w:rPr>
        </w:r>
        <w:r>
          <w:rPr>
            <w:noProof/>
            <w:webHidden/>
            <w:sz w:val="20"/>
            <w:szCs w:val="20"/>
          </w:rPr>
          <w:fldChar w:fldCharType="separate"/>
        </w:r>
        <w:r>
          <w:rPr>
            <w:noProof/>
            <w:webHidden/>
            <w:sz w:val="20"/>
            <w:szCs w:val="20"/>
          </w:rPr>
          <w:t>40</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6" w:history="1">
        <w:r>
          <w:rPr>
            <w:rStyle w:val="Hyperlink"/>
            <w:noProof/>
            <w:sz w:val="20"/>
            <w:szCs w:val="20"/>
          </w:rPr>
          <w:t>SECȚIUNEA 8</w:t>
        </w:r>
        <w:r>
          <w:rPr>
            <w:rFonts w:ascii="Calibri" w:hAnsi="Calibri" w:cs="Calibri"/>
            <w:b w:val="0"/>
            <w:bCs w:val="0"/>
            <w:noProof/>
            <w:sz w:val="20"/>
            <w:szCs w:val="20"/>
            <w:lang w:eastAsia="ro-RO"/>
          </w:rPr>
          <w:tab/>
        </w:r>
        <w:r>
          <w:rPr>
            <w:rStyle w:val="Hyperlink"/>
            <w:noProof/>
            <w:sz w:val="20"/>
            <w:szCs w:val="20"/>
          </w:rPr>
          <w:t>Colectarea, transportul, sortarea, valorificarea și eliminarea deșeurilor provenite din gospodăriile populației, generate de activități de reamenajare și reabilitare interioara a locuințelor/ apartamentelor proprietate individuală</w:t>
        </w:r>
        <w:r>
          <w:rPr>
            <w:noProof/>
            <w:webHidden/>
            <w:sz w:val="20"/>
            <w:szCs w:val="20"/>
          </w:rPr>
          <w:tab/>
        </w:r>
        <w:r>
          <w:rPr>
            <w:noProof/>
            <w:webHidden/>
            <w:sz w:val="20"/>
            <w:szCs w:val="20"/>
          </w:rPr>
          <w:fldChar w:fldCharType="begin"/>
        </w:r>
        <w:r>
          <w:rPr>
            <w:noProof/>
            <w:webHidden/>
            <w:sz w:val="20"/>
            <w:szCs w:val="20"/>
          </w:rPr>
          <w:instrText xml:space="preserve"> PAGEREF _Toc41469116 \h </w:instrText>
        </w:r>
        <w:r>
          <w:rPr>
            <w:noProof/>
            <w:webHidden/>
            <w:sz w:val="20"/>
            <w:szCs w:val="20"/>
          </w:rPr>
        </w:r>
        <w:r>
          <w:rPr>
            <w:noProof/>
            <w:webHidden/>
            <w:sz w:val="20"/>
            <w:szCs w:val="20"/>
          </w:rPr>
          <w:fldChar w:fldCharType="separate"/>
        </w:r>
        <w:r>
          <w:rPr>
            <w:noProof/>
            <w:webHidden/>
            <w:sz w:val="20"/>
            <w:szCs w:val="20"/>
          </w:rPr>
          <w:t>41</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17" w:history="1">
        <w:r>
          <w:rPr>
            <w:rStyle w:val="Hyperlink"/>
            <w:noProof/>
            <w:sz w:val="20"/>
            <w:szCs w:val="20"/>
          </w:rPr>
          <w:t>SECȚIUNEA 9</w:t>
        </w:r>
        <w:r>
          <w:rPr>
            <w:rFonts w:ascii="Calibri" w:hAnsi="Calibri" w:cs="Calibri"/>
            <w:b w:val="0"/>
            <w:bCs w:val="0"/>
            <w:noProof/>
            <w:sz w:val="20"/>
            <w:szCs w:val="20"/>
            <w:lang w:eastAsia="ro-RO"/>
          </w:rPr>
          <w:tab/>
        </w:r>
        <w:r>
          <w:rPr>
            <w:rStyle w:val="Hyperlink"/>
            <w:noProof/>
            <w:sz w:val="20"/>
            <w:szCs w:val="20"/>
          </w:rPr>
          <w:t>Colectări ocazionale și servicii suplimentare</w:t>
        </w:r>
        <w:r>
          <w:rPr>
            <w:noProof/>
            <w:webHidden/>
            <w:sz w:val="20"/>
            <w:szCs w:val="20"/>
          </w:rPr>
          <w:tab/>
        </w:r>
        <w:r>
          <w:rPr>
            <w:noProof/>
            <w:webHidden/>
            <w:sz w:val="20"/>
            <w:szCs w:val="20"/>
          </w:rPr>
          <w:fldChar w:fldCharType="begin"/>
        </w:r>
        <w:r>
          <w:rPr>
            <w:noProof/>
            <w:webHidden/>
            <w:sz w:val="20"/>
            <w:szCs w:val="20"/>
          </w:rPr>
          <w:instrText xml:space="preserve"> PAGEREF _Toc41469117 \h </w:instrText>
        </w:r>
        <w:r>
          <w:rPr>
            <w:noProof/>
            <w:webHidden/>
            <w:sz w:val="20"/>
            <w:szCs w:val="20"/>
          </w:rPr>
        </w:r>
        <w:r>
          <w:rPr>
            <w:noProof/>
            <w:webHidden/>
            <w:sz w:val="20"/>
            <w:szCs w:val="20"/>
          </w:rPr>
          <w:fldChar w:fldCharType="separate"/>
        </w:r>
        <w:r>
          <w:rPr>
            <w:noProof/>
            <w:webHidden/>
            <w:sz w:val="20"/>
            <w:szCs w:val="20"/>
          </w:rPr>
          <w:t>42</w:t>
        </w:r>
        <w:r>
          <w:rPr>
            <w:noProof/>
            <w:webHidden/>
            <w:sz w:val="20"/>
            <w:szCs w:val="20"/>
          </w:rPr>
          <w:fldChar w:fldCharType="end"/>
        </w:r>
      </w:hyperlink>
    </w:p>
    <w:p>
      <w:pPr>
        <w:pStyle w:val="TOC1"/>
        <w:tabs>
          <w:tab w:val="left" w:pos="1895"/>
        </w:tabs>
        <w:spacing w:line="312" w:lineRule="auto"/>
        <w:rPr>
          <w:rFonts w:ascii="Calibri" w:hAnsi="Calibri" w:cs="Calibri"/>
          <w:b w:val="0"/>
          <w:bCs w:val="0"/>
          <w:lang w:eastAsia="ro-RO"/>
        </w:rPr>
      </w:pPr>
      <w:hyperlink w:anchor="_Toc41469118" w:history="1">
        <w:r>
          <w:rPr>
            <w:rStyle w:val="Hyperlink"/>
          </w:rPr>
          <w:t>CAPITOLUL III</w:t>
        </w:r>
        <w:r>
          <w:rPr>
            <w:rFonts w:ascii="Calibri" w:hAnsi="Calibri" w:cs="Calibri"/>
            <w:b w:val="0"/>
            <w:bCs w:val="0"/>
            <w:lang w:eastAsia="ro-RO"/>
          </w:rPr>
          <w:tab/>
        </w:r>
        <w:r>
          <w:rPr>
            <w:rStyle w:val="Hyperlink"/>
          </w:rPr>
          <w:t>DREPTURI ȘI OBLIGAȚII</w:t>
        </w:r>
        <w:r>
          <w:rPr>
            <w:webHidden/>
          </w:rPr>
          <w:tab/>
        </w:r>
        <w:r>
          <w:rPr>
            <w:webHidden/>
          </w:rPr>
          <w:fldChar w:fldCharType="begin"/>
        </w:r>
        <w:r>
          <w:rPr>
            <w:webHidden/>
          </w:rPr>
          <w:instrText xml:space="preserve"> PAGEREF _Toc41469118 \h </w:instrText>
        </w:r>
        <w:r>
          <w:rPr>
            <w:webHidden/>
          </w:rPr>
        </w:r>
        <w:r>
          <w:rPr>
            <w:webHidden/>
          </w:rPr>
          <w:fldChar w:fldCharType="separate"/>
        </w:r>
        <w:r>
          <w:rPr>
            <w:webHidden/>
          </w:rPr>
          <w:t>44</w:t>
        </w:r>
        <w:r>
          <w:rPr>
            <w:webHidden/>
          </w:rPr>
          <w:fldChar w:fldCharType="end"/>
        </w:r>
      </w:hyperlink>
    </w:p>
    <w:p>
      <w:pPr>
        <w:pStyle w:val="TOC2"/>
        <w:spacing w:line="312" w:lineRule="auto"/>
        <w:rPr>
          <w:rFonts w:ascii="Calibri" w:hAnsi="Calibri" w:cs="Calibri"/>
          <w:b w:val="0"/>
          <w:bCs w:val="0"/>
          <w:noProof/>
          <w:sz w:val="20"/>
          <w:szCs w:val="20"/>
          <w:lang w:eastAsia="ro-RO"/>
        </w:rPr>
      </w:pPr>
      <w:hyperlink w:anchor="_Toc41469119" w:history="1">
        <w:r>
          <w:rPr>
            <w:rStyle w:val="Hyperlink"/>
            <w:noProof/>
            <w:sz w:val="20"/>
            <w:szCs w:val="20"/>
          </w:rPr>
          <w:t>SECȚIUNEA 1</w:t>
        </w:r>
        <w:r>
          <w:rPr>
            <w:rFonts w:ascii="Calibri" w:hAnsi="Calibri" w:cs="Calibri"/>
            <w:b w:val="0"/>
            <w:bCs w:val="0"/>
            <w:noProof/>
            <w:sz w:val="20"/>
            <w:szCs w:val="20"/>
            <w:lang w:eastAsia="ro-RO"/>
          </w:rPr>
          <w:tab/>
        </w:r>
        <w:r>
          <w:rPr>
            <w:rStyle w:val="Hyperlink"/>
            <w:noProof/>
            <w:sz w:val="20"/>
            <w:szCs w:val="20"/>
          </w:rPr>
          <w:t>Drepturile și obligațiile operatorilor serviciului de salubrizare</w:t>
        </w:r>
        <w:r>
          <w:rPr>
            <w:noProof/>
            <w:webHidden/>
            <w:sz w:val="20"/>
            <w:szCs w:val="20"/>
          </w:rPr>
          <w:tab/>
        </w:r>
        <w:r>
          <w:rPr>
            <w:noProof/>
            <w:webHidden/>
            <w:sz w:val="20"/>
            <w:szCs w:val="20"/>
          </w:rPr>
          <w:fldChar w:fldCharType="begin"/>
        </w:r>
        <w:r>
          <w:rPr>
            <w:noProof/>
            <w:webHidden/>
            <w:sz w:val="20"/>
            <w:szCs w:val="20"/>
          </w:rPr>
          <w:instrText xml:space="preserve"> PAGEREF _Toc41469119 \h </w:instrText>
        </w:r>
        <w:r>
          <w:rPr>
            <w:noProof/>
            <w:webHidden/>
            <w:sz w:val="20"/>
            <w:szCs w:val="20"/>
          </w:rPr>
        </w:r>
        <w:r>
          <w:rPr>
            <w:noProof/>
            <w:webHidden/>
            <w:sz w:val="20"/>
            <w:szCs w:val="20"/>
          </w:rPr>
          <w:fldChar w:fldCharType="separate"/>
        </w:r>
        <w:r>
          <w:rPr>
            <w:noProof/>
            <w:webHidden/>
            <w:sz w:val="20"/>
            <w:szCs w:val="20"/>
          </w:rPr>
          <w:t>44</w:t>
        </w:r>
        <w:r>
          <w:rPr>
            <w:noProof/>
            <w:webHidden/>
            <w:sz w:val="20"/>
            <w:szCs w:val="20"/>
          </w:rPr>
          <w:fldChar w:fldCharType="end"/>
        </w:r>
      </w:hyperlink>
    </w:p>
    <w:p>
      <w:pPr>
        <w:pStyle w:val="TOC2"/>
        <w:spacing w:line="312" w:lineRule="auto"/>
        <w:rPr>
          <w:rFonts w:ascii="Calibri" w:hAnsi="Calibri" w:cs="Calibri"/>
          <w:b w:val="0"/>
          <w:bCs w:val="0"/>
          <w:noProof/>
          <w:sz w:val="20"/>
          <w:szCs w:val="20"/>
          <w:lang w:eastAsia="ro-RO"/>
        </w:rPr>
      </w:pPr>
      <w:hyperlink w:anchor="_Toc41469120" w:history="1">
        <w:r>
          <w:rPr>
            <w:rStyle w:val="Hyperlink"/>
            <w:noProof/>
            <w:sz w:val="20"/>
            <w:szCs w:val="20"/>
          </w:rPr>
          <w:t>SECTIUNEA 2</w:t>
        </w:r>
        <w:r>
          <w:rPr>
            <w:rFonts w:ascii="Calibri" w:hAnsi="Calibri" w:cs="Calibri"/>
            <w:b w:val="0"/>
            <w:bCs w:val="0"/>
            <w:noProof/>
            <w:sz w:val="20"/>
            <w:szCs w:val="20"/>
            <w:lang w:eastAsia="ro-RO"/>
          </w:rPr>
          <w:tab/>
        </w:r>
        <w:r>
          <w:rPr>
            <w:rStyle w:val="Hyperlink"/>
            <w:noProof/>
            <w:sz w:val="20"/>
            <w:szCs w:val="20"/>
          </w:rPr>
          <w:t>Drepturile și obligațiile utilizatorilor</w:t>
        </w:r>
        <w:r>
          <w:rPr>
            <w:noProof/>
            <w:webHidden/>
            <w:sz w:val="20"/>
            <w:szCs w:val="20"/>
          </w:rPr>
          <w:tab/>
        </w:r>
        <w:r>
          <w:rPr>
            <w:noProof/>
            <w:webHidden/>
            <w:sz w:val="20"/>
            <w:szCs w:val="20"/>
          </w:rPr>
          <w:fldChar w:fldCharType="begin"/>
        </w:r>
        <w:r>
          <w:rPr>
            <w:noProof/>
            <w:webHidden/>
            <w:sz w:val="20"/>
            <w:szCs w:val="20"/>
          </w:rPr>
          <w:instrText xml:space="preserve"> PAGEREF _Toc41469120 \h </w:instrText>
        </w:r>
        <w:r>
          <w:rPr>
            <w:noProof/>
            <w:webHidden/>
            <w:sz w:val="20"/>
            <w:szCs w:val="20"/>
          </w:rPr>
        </w:r>
        <w:r>
          <w:rPr>
            <w:noProof/>
            <w:webHidden/>
            <w:sz w:val="20"/>
            <w:szCs w:val="20"/>
          </w:rPr>
          <w:fldChar w:fldCharType="separate"/>
        </w:r>
        <w:r>
          <w:rPr>
            <w:noProof/>
            <w:webHidden/>
            <w:sz w:val="20"/>
            <w:szCs w:val="20"/>
          </w:rPr>
          <w:t>47</w:t>
        </w:r>
        <w:r>
          <w:rPr>
            <w:noProof/>
            <w:webHidden/>
            <w:sz w:val="20"/>
            <w:szCs w:val="20"/>
          </w:rPr>
          <w:fldChar w:fldCharType="end"/>
        </w:r>
      </w:hyperlink>
    </w:p>
    <w:p>
      <w:pPr>
        <w:pStyle w:val="TOC1"/>
        <w:tabs>
          <w:tab w:val="left" w:pos="1936"/>
        </w:tabs>
        <w:spacing w:line="312" w:lineRule="auto"/>
        <w:rPr>
          <w:rFonts w:ascii="Calibri" w:hAnsi="Calibri" w:cs="Calibri"/>
          <w:b w:val="0"/>
          <w:bCs w:val="0"/>
          <w:lang w:eastAsia="ro-RO"/>
        </w:rPr>
      </w:pPr>
      <w:hyperlink w:anchor="_Toc41469121" w:history="1">
        <w:r>
          <w:rPr>
            <w:rStyle w:val="Hyperlink"/>
          </w:rPr>
          <w:t>CAPITOLUL IV</w:t>
        </w:r>
        <w:r>
          <w:rPr>
            <w:rFonts w:ascii="Calibri" w:hAnsi="Calibri" w:cs="Calibri"/>
            <w:b w:val="0"/>
            <w:bCs w:val="0"/>
            <w:lang w:eastAsia="ro-RO"/>
          </w:rPr>
          <w:tab/>
        </w:r>
        <w:r>
          <w:rPr>
            <w:rStyle w:val="Hyperlink"/>
          </w:rPr>
          <w:t>DETERMINAREA CANTITĂȚILOR ȘI VOLUMULUI DE LUCRĂRI PRESTATE</w:t>
        </w:r>
        <w:r>
          <w:rPr>
            <w:webHidden/>
          </w:rPr>
          <w:tab/>
        </w:r>
        <w:r>
          <w:rPr>
            <w:webHidden/>
          </w:rPr>
          <w:fldChar w:fldCharType="begin"/>
        </w:r>
        <w:r>
          <w:rPr>
            <w:webHidden/>
          </w:rPr>
          <w:instrText xml:space="preserve"> PAGEREF _Toc41469121 \h </w:instrText>
        </w:r>
        <w:r>
          <w:rPr>
            <w:webHidden/>
          </w:rPr>
        </w:r>
        <w:r>
          <w:rPr>
            <w:webHidden/>
          </w:rPr>
          <w:fldChar w:fldCharType="separate"/>
        </w:r>
        <w:r>
          <w:rPr>
            <w:webHidden/>
          </w:rPr>
          <w:t>50</w:t>
        </w:r>
        <w:r>
          <w:rPr>
            <w:webHidden/>
          </w:rPr>
          <w:fldChar w:fldCharType="end"/>
        </w:r>
      </w:hyperlink>
    </w:p>
    <w:p>
      <w:pPr>
        <w:pStyle w:val="TOC1"/>
        <w:tabs>
          <w:tab w:val="left" w:pos="1760"/>
        </w:tabs>
        <w:spacing w:line="312" w:lineRule="auto"/>
        <w:rPr>
          <w:rFonts w:ascii="Calibri" w:hAnsi="Calibri" w:cs="Calibri"/>
          <w:b w:val="0"/>
          <w:bCs w:val="0"/>
          <w:lang w:eastAsia="ro-RO"/>
        </w:rPr>
      </w:pPr>
      <w:hyperlink w:anchor="_Toc41469122" w:history="1">
        <w:r>
          <w:rPr>
            <w:rStyle w:val="Hyperlink"/>
          </w:rPr>
          <w:t>CAPITOLUL V</w:t>
        </w:r>
        <w:r>
          <w:rPr>
            <w:rFonts w:ascii="Calibri" w:hAnsi="Calibri" w:cs="Calibri"/>
            <w:b w:val="0"/>
            <w:bCs w:val="0"/>
            <w:lang w:eastAsia="ro-RO"/>
          </w:rPr>
          <w:tab/>
        </w:r>
        <w:r>
          <w:rPr>
            <w:rStyle w:val="Hyperlink"/>
          </w:rPr>
          <w:t>INDICATORI DE PERFORMANȚĂ ȘI DE EVALUARE AI SERVICIULUI DE SALUBRIZARE</w:t>
        </w:r>
        <w:r>
          <w:rPr>
            <w:webHidden/>
          </w:rPr>
          <w:tab/>
        </w:r>
        <w:r>
          <w:rPr>
            <w:webHidden/>
          </w:rPr>
          <w:fldChar w:fldCharType="begin"/>
        </w:r>
        <w:r>
          <w:rPr>
            <w:webHidden/>
          </w:rPr>
          <w:instrText xml:space="preserve"> PAGEREF _Toc41469122 \h </w:instrText>
        </w:r>
        <w:r>
          <w:rPr>
            <w:webHidden/>
          </w:rPr>
        </w:r>
        <w:r>
          <w:rPr>
            <w:webHidden/>
          </w:rPr>
          <w:fldChar w:fldCharType="separate"/>
        </w:r>
        <w:r>
          <w:rPr>
            <w:webHidden/>
          </w:rPr>
          <w:t>51</w:t>
        </w:r>
        <w:r>
          <w:rPr>
            <w:webHidden/>
          </w:rPr>
          <w:fldChar w:fldCharType="end"/>
        </w:r>
      </w:hyperlink>
    </w:p>
    <w:p>
      <w:pPr>
        <w:pStyle w:val="TOC1"/>
        <w:tabs>
          <w:tab w:val="left" w:pos="1830"/>
        </w:tabs>
        <w:spacing w:line="312" w:lineRule="auto"/>
        <w:rPr>
          <w:rFonts w:ascii="Calibri" w:hAnsi="Calibri" w:cs="Calibri"/>
          <w:b w:val="0"/>
          <w:bCs w:val="0"/>
          <w:lang w:eastAsia="ro-RO"/>
        </w:rPr>
      </w:pPr>
      <w:hyperlink w:anchor="_Toc41469123" w:history="1">
        <w:r>
          <w:rPr>
            <w:rStyle w:val="Hyperlink"/>
          </w:rPr>
          <w:t>CAPITOLUL VI</w:t>
        </w:r>
        <w:r>
          <w:rPr>
            <w:rFonts w:ascii="Calibri" w:hAnsi="Calibri" w:cs="Calibri"/>
            <w:b w:val="0"/>
            <w:bCs w:val="0"/>
            <w:lang w:eastAsia="ro-RO"/>
          </w:rPr>
          <w:tab/>
        </w:r>
        <w:r>
          <w:rPr>
            <w:rStyle w:val="Hyperlink"/>
          </w:rPr>
          <w:t>CONTRACTE DE PRESTARE A SERVICIILOR DE SALUBRIZARE</w:t>
        </w:r>
        <w:r>
          <w:rPr>
            <w:webHidden/>
          </w:rPr>
          <w:tab/>
        </w:r>
        <w:r>
          <w:rPr>
            <w:webHidden/>
          </w:rPr>
          <w:fldChar w:fldCharType="begin"/>
        </w:r>
        <w:r>
          <w:rPr>
            <w:webHidden/>
          </w:rPr>
          <w:instrText xml:space="preserve"> PAGEREF _Toc41469123 \h </w:instrText>
        </w:r>
        <w:r>
          <w:rPr>
            <w:webHidden/>
          </w:rPr>
        </w:r>
        <w:r>
          <w:rPr>
            <w:webHidden/>
          </w:rPr>
          <w:fldChar w:fldCharType="separate"/>
        </w:r>
        <w:r>
          <w:rPr>
            <w:webHidden/>
          </w:rPr>
          <w:t>54</w:t>
        </w:r>
        <w:r>
          <w:rPr>
            <w:webHidden/>
          </w:rPr>
          <w:fldChar w:fldCharType="end"/>
        </w:r>
      </w:hyperlink>
    </w:p>
    <w:p>
      <w:pPr>
        <w:pStyle w:val="TOC1"/>
        <w:tabs>
          <w:tab w:val="left" w:pos="1939"/>
        </w:tabs>
        <w:spacing w:line="312" w:lineRule="auto"/>
        <w:rPr>
          <w:rFonts w:ascii="Calibri" w:hAnsi="Calibri" w:cs="Calibri"/>
          <w:b w:val="0"/>
          <w:bCs w:val="0"/>
          <w:lang w:eastAsia="ro-RO"/>
        </w:rPr>
      </w:pPr>
      <w:hyperlink w:anchor="_Toc41469124" w:history="1">
        <w:r>
          <w:rPr>
            <w:rStyle w:val="Hyperlink"/>
          </w:rPr>
          <w:t>CAPITOLUL VII</w:t>
        </w:r>
        <w:r>
          <w:rPr>
            <w:rFonts w:ascii="Calibri" w:hAnsi="Calibri" w:cs="Calibri"/>
            <w:b w:val="0"/>
            <w:bCs w:val="0"/>
            <w:lang w:eastAsia="ro-RO"/>
          </w:rPr>
          <w:tab/>
        </w:r>
        <w:r>
          <w:rPr>
            <w:rStyle w:val="Hyperlink"/>
          </w:rPr>
          <w:t>DISPOZIȚII TRANZITORII și FINALE</w:t>
        </w:r>
        <w:r>
          <w:rPr>
            <w:webHidden/>
          </w:rPr>
          <w:tab/>
        </w:r>
        <w:r>
          <w:rPr>
            <w:webHidden/>
          </w:rPr>
          <w:fldChar w:fldCharType="begin"/>
        </w:r>
        <w:r>
          <w:rPr>
            <w:webHidden/>
          </w:rPr>
          <w:instrText xml:space="preserve"> PAGEREF _Toc41469124 \h </w:instrText>
        </w:r>
        <w:r>
          <w:rPr>
            <w:webHidden/>
          </w:rPr>
        </w:r>
        <w:r>
          <w:rPr>
            <w:webHidden/>
          </w:rPr>
          <w:fldChar w:fldCharType="separate"/>
        </w:r>
        <w:r>
          <w:rPr>
            <w:webHidden/>
          </w:rPr>
          <w:t>55</w:t>
        </w:r>
        <w:r>
          <w:rPr>
            <w:webHidden/>
          </w:rPr>
          <w:fldChar w:fldCharType="end"/>
        </w:r>
      </w:hyperlink>
    </w:p>
    <w:p>
      <w:pPr>
        <w:pStyle w:val="TOC1"/>
        <w:spacing w:line="312" w:lineRule="auto"/>
        <w:rPr>
          <w:rFonts w:ascii="Calibri" w:hAnsi="Calibri" w:cs="Calibri"/>
          <w:b w:val="0"/>
          <w:bCs w:val="0"/>
          <w:lang w:eastAsia="ro-RO"/>
        </w:rPr>
      </w:pPr>
      <w:hyperlink w:anchor="_Toc41469125" w:history="1">
        <w:r>
          <w:rPr>
            <w:rStyle w:val="Hyperlink"/>
          </w:rPr>
          <w:t>ANEXA 1</w:t>
        </w:r>
        <w:r>
          <w:rPr>
            <w:rFonts w:ascii="Calibri" w:hAnsi="Calibri" w:cs="Calibri"/>
            <w:b w:val="0"/>
            <w:bCs w:val="0"/>
            <w:lang w:eastAsia="ro-RO"/>
          </w:rPr>
          <w:tab/>
        </w:r>
        <w:r>
          <w:rPr>
            <w:rStyle w:val="Hyperlink"/>
          </w:rPr>
          <w:t>INDICATORI DE PERFORMANȚĂ PENTRU SERVICIUL PUBLIC DE SALUBRIZARE DIN JUDEȚUL CARAȘ SEVERIN</w:t>
        </w:r>
        <w:r>
          <w:rPr>
            <w:webHidden/>
          </w:rPr>
          <w:tab/>
        </w:r>
        <w:r>
          <w:rPr>
            <w:webHidden/>
          </w:rPr>
          <w:fldChar w:fldCharType="begin"/>
        </w:r>
        <w:r>
          <w:rPr>
            <w:webHidden/>
          </w:rPr>
          <w:instrText xml:space="preserve"> PAGEREF _Toc41469125 \h </w:instrText>
        </w:r>
        <w:r>
          <w:rPr>
            <w:webHidden/>
          </w:rPr>
        </w:r>
        <w:r>
          <w:rPr>
            <w:webHidden/>
          </w:rPr>
          <w:fldChar w:fldCharType="separate"/>
        </w:r>
        <w:r>
          <w:rPr>
            <w:webHidden/>
          </w:rPr>
          <w:t>56</w:t>
        </w:r>
        <w:r>
          <w:rPr>
            <w:webHidden/>
          </w:rPr>
          <w:fldChar w:fldCharType="end"/>
        </w:r>
      </w:hyperlink>
    </w:p>
    <w:p>
      <w:pPr>
        <w:pStyle w:val="TOC1"/>
        <w:spacing w:line="312" w:lineRule="auto"/>
        <w:rPr>
          <w:rFonts w:ascii="Calibri" w:hAnsi="Calibri" w:cs="Calibri"/>
          <w:b w:val="0"/>
          <w:bCs w:val="0"/>
          <w:lang w:eastAsia="ro-RO"/>
        </w:rPr>
      </w:pPr>
      <w:hyperlink w:anchor="_Toc41469126" w:history="1">
        <w:r>
          <w:rPr>
            <w:rStyle w:val="Hyperlink"/>
          </w:rPr>
          <w:t>ANEXA 2</w:t>
        </w:r>
        <w:r>
          <w:rPr>
            <w:rFonts w:ascii="Calibri" w:hAnsi="Calibri" w:cs="Calibri"/>
            <w:b w:val="0"/>
            <w:bCs w:val="0"/>
            <w:lang w:eastAsia="ro-RO"/>
          </w:rPr>
          <w:tab/>
        </w:r>
        <w:r>
          <w:rPr>
            <w:rStyle w:val="Hyperlink"/>
          </w:rPr>
          <w:t>SISTEMUL INTEGRAT DE MANAGEMENT AL DEȘEURILOR DIN JUDEȚUL CARAȘ SEVERIN</w:t>
        </w:r>
        <w:r>
          <w:rPr>
            <w:webHidden/>
          </w:rPr>
          <w:tab/>
        </w:r>
        <w:r>
          <w:rPr>
            <w:webHidden/>
          </w:rPr>
          <w:fldChar w:fldCharType="begin"/>
        </w:r>
        <w:r>
          <w:rPr>
            <w:webHidden/>
          </w:rPr>
          <w:instrText xml:space="preserve"> PAGEREF _Toc41469126 \h </w:instrText>
        </w:r>
        <w:r>
          <w:rPr>
            <w:webHidden/>
          </w:rPr>
        </w:r>
        <w:r>
          <w:rPr>
            <w:webHidden/>
          </w:rPr>
          <w:fldChar w:fldCharType="separate"/>
        </w:r>
        <w:r>
          <w:rPr>
            <w:webHidden/>
          </w:rPr>
          <w:t>65</w:t>
        </w:r>
        <w:r>
          <w:rPr>
            <w:webHidden/>
          </w:rPr>
          <w:fldChar w:fldCharType="end"/>
        </w:r>
      </w:hyperlink>
    </w:p>
    <w:p>
      <w:pPr>
        <w:pStyle w:val="TOC1"/>
        <w:spacing w:line="312" w:lineRule="auto"/>
        <w:rPr>
          <w:rFonts w:ascii="Calibri" w:hAnsi="Calibri" w:cs="Calibri"/>
          <w:b w:val="0"/>
          <w:bCs w:val="0"/>
          <w:lang w:eastAsia="ro-RO"/>
        </w:rPr>
      </w:pPr>
      <w:hyperlink w:anchor="_Toc41469127" w:history="1">
        <w:r>
          <w:rPr>
            <w:rStyle w:val="Hyperlink"/>
          </w:rPr>
          <w:t>ANEXA 3</w:t>
        </w:r>
        <w:r>
          <w:rPr>
            <w:rFonts w:ascii="Calibri" w:hAnsi="Calibri" w:cs="Calibri"/>
            <w:b w:val="0"/>
            <w:bCs w:val="0"/>
            <w:lang w:eastAsia="ro-RO"/>
          </w:rPr>
          <w:tab/>
        </w:r>
        <w:r>
          <w:rPr>
            <w:rStyle w:val="Hyperlink"/>
          </w:rPr>
          <w:t>LOCALITĂȚI CU MAI PUȚIN DE 100 LOCUITORI ÎN CARE NU SE REALIZEAZĂ COLECTAREA SEPARATĂ A DEȘEURILOR RECICLABILE</w:t>
        </w:r>
        <w:r>
          <w:rPr>
            <w:webHidden/>
          </w:rPr>
          <w:tab/>
        </w:r>
        <w:r>
          <w:rPr>
            <w:webHidden/>
          </w:rPr>
          <w:fldChar w:fldCharType="begin"/>
        </w:r>
        <w:r>
          <w:rPr>
            <w:webHidden/>
          </w:rPr>
          <w:instrText xml:space="preserve"> PAGEREF _Toc41469127 \h </w:instrText>
        </w:r>
        <w:r>
          <w:rPr>
            <w:webHidden/>
          </w:rPr>
        </w:r>
        <w:r>
          <w:rPr>
            <w:webHidden/>
          </w:rPr>
          <w:fldChar w:fldCharType="separate"/>
        </w:r>
        <w:r>
          <w:rPr>
            <w:webHidden/>
          </w:rPr>
          <w:t>77</w:t>
        </w:r>
        <w:r>
          <w:rPr>
            <w:webHidden/>
          </w:rPr>
          <w:fldChar w:fldCharType="end"/>
        </w:r>
      </w:hyperlink>
    </w:p>
    <w:p>
      <w:pPr>
        <w:pStyle w:val="TOC1"/>
        <w:spacing w:line="312" w:lineRule="auto"/>
        <w:rPr>
          <w:rFonts w:ascii="Calibri" w:hAnsi="Calibri" w:cs="Calibri"/>
          <w:b w:val="0"/>
          <w:bCs w:val="0"/>
          <w:lang w:eastAsia="ro-RO"/>
        </w:rPr>
      </w:pPr>
      <w:hyperlink w:anchor="_Toc41469128" w:history="1">
        <w:r>
          <w:rPr>
            <w:rStyle w:val="Hyperlink"/>
          </w:rPr>
          <w:t>ANEXA 4</w:t>
        </w:r>
        <w:r>
          <w:rPr>
            <w:rFonts w:ascii="Calibri" w:hAnsi="Calibri" w:cs="Calibri"/>
            <w:b w:val="0"/>
            <w:bCs w:val="0"/>
            <w:lang w:eastAsia="ro-RO"/>
          </w:rPr>
          <w:tab/>
        </w:r>
        <w:r>
          <w:rPr>
            <w:rStyle w:val="Hyperlink"/>
          </w:rPr>
          <w:t>ZONE CU ACCES DIFICIL DIN MEDIUL RURAL ȘI DIN MEDIUL URBAN (ZONA DE CASE) ÎN CARE COLECTAREA DEȘEURILOR REZIDUALE SE REALIZEAZĂ ÎN PUNCTE DE COLECTARE</w:t>
        </w:r>
        <w:r>
          <w:rPr>
            <w:webHidden/>
          </w:rPr>
          <w:tab/>
        </w:r>
        <w:r>
          <w:rPr>
            <w:webHidden/>
          </w:rPr>
          <w:fldChar w:fldCharType="begin"/>
        </w:r>
        <w:r>
          <w:rPr>
            <w:webHidden/>
          </w:rPr>
          <w:instrText xml:space="preserve"> PAGEREF _Toc41469128 \h </w:instrText>
        </w:r>
        <w:r>
          <w:rPr>
            <w:webHidden/>
          </w:rPr>
        </w:r>
        <w:r>
          <w:rPr>
            <w:webHidden/>
          </w:rPr>
          <w:fldChar w:fldCharType="separate"/>
        </w:r>
        <w:r>
          <w:rPr>
            <w:webHidden/>
          </w:rPr>
          <w:t>79</w:t>
        </w:r>
        <w:r>
          <w:rPr>
            <w:webHidden/>
          </w:rPr>
          <w:fldChar w:fldCharType="end"/>
        </w:r>
      </w:hyperlink>
    </w:p>
    <w:p>
      <w:pPr>
        <w:pStyle w:val="TOC1"/>
        <w:spacing w:line="312" w:lineRule="auto"/>
        <w:rPr>
          <w:rFonts w:ascii="Calibri" w:hAnsi="Calibri" w:cs="Calibri"/>
          <w:b w:val="0"/>
          <w:bCs w:val="0"/>
          <w:sz w:val="22"/>
          <w:szCs w:val="22"/>
          <w:lang w:eastAsia="ro-RO"/>
        </w:rPr>
      </w:pPr>
      <w:hyperlink w:anchor="_Toc41469129" w:history="1">
        <w:r>
          <w:rPr>
            <w:rStyle w:val="Hyperlink"/>
          </w:rPr>
          <w:t>ANEXA 5</w:t>
        </w:r>
        <w:r>
          <w:rPr>
            <w:rFonts w:ascii="Calibri" w:hAnsi="Calibri" w:cs="Calibri"/>
            <w:b w:val="0"/>
            <w:bCs w:val="0"/>
            <w:lang w:eastAsia="ro-RO"/>
          </w:rPr>
          <w:tab/>
        </w:r>
        <w:r>
          <w:rPr>
            <w:rStyle w:val="Hyperlink"/>
          </w:rPr>
          <w:t>CONTRAVENȚII ÎN DOMENIUL SERVICIULUI DE SALUBRIZARE PENTRU OPERATORI/UTILIZATORI ȘI CUANTUMUL AMENZILOR APLICATE</w:t>
        </w:r>
        <w:r>
          <w:rPr>
            <w:webHidden/>
          </w:rPr>
          <w:tab/>
        </w:r>
        <w:r>
          <w:rPr>
            <w:webHidden/>
          </w:rPr>
          <w:fldChar w:fldCharType="begin"/>
        </w:r>
        <w:r>
          <w:rPr>
            <w:webHidden/>
          </w:rPr>
          <w:instrText xml:space="preserve"> PAGEREF _Toc41469129 \h </w:instrText>
        </w:r>
        <w:r>
          <w:rPr>
            <w:webHidden/>
          </w:rPr>
        </w:r>
        <w:r>
          <w:rPr>
            <w:webHidden/>
          </w:rPr>
          <w:fldChar w:fldCharType="separate"/>
        </w:r>
        <w:r>
          <w:rPr>
            <w:webHidden/>
          </w:rPr>
          <w:t>95</w:t>
        </w:r>
        <w:r>
          <w:rPr>
            <w:webHidden/>
          </w:rPr>
          <w:fldChar w:fldCharType="end"/>
        </w:r>
      </w:hyperlink>
    </w:p>
    <w:p>
      <w:pPr>
        <w:autoSpaceDE w:val="0"/>
        <w:autoSpaceDN w:val="0"/>
        <w:adjustRightInd w:val="0"/>
        <w:spacing w:after="120" w:line="288" w:lineRule="auto"/>
        <w:ind w:firstLine="357"/>
        <w:jc w:val="both"/>
        <w:rPr>
          <w:rFonts w:ascii="Verdana" w:hAnsi="Verdana" w:cs="Verdana"/>
          <w:b/>
          <w:bCs/>
          <w:sz w:val="18"/>
          <w:szCs w:val="18"/>
          <w:lang w:val="ro-RO"/>
        </w:rPr>
        <w:sectPr>
          <w:footerReference w:type="default" r:id="rId9"/>
          <w:pgSz w:w="11909" w:h="16834" w:code="9"/>
          <w:pgMar w:top="1440" w:right="1440" w:bottom="1440" w:left="1440" w:header="709" w:footer="709" w:gutter="0"/>
          <w:cols w:space="708"/>
          <w:docGrid w:linePitch="360"/>
        </w:sectPr>
      </w:pPr>
      <w:r>
        <w:rPr>
          <w:sz w:val="16"/>
          <w:szCs w:val="16"/>
        </w:rPr>
        <w:fldChar w:fldCharType="end"/>
      </w:r>
      <w:bookmarkStart w:id="0" w:name="_Toc180478976"/>
      <w:bookmarkStart w:id="1" w:name="_Toc180479025"/>
    </w:p>
    <w:p>
      <w:pPr>
        <w:pStyle w:val="StyleHeading1Verdana14ptCenteredBefore0ptAfter"/>
        <w:rPr>
          <w:lang w:val="ro-RO"/>
        </w:rPr>
      </w:pPr>
      <w:bookmarkStart w:id="2" w:name="_Toc41469103"/>
      <w:r>
        <w:rPr>
          <w:lang w:val="ro-RO"/>
        </w:rPr>
        <w:lastRenderedPageBreak/>
        <w:t>CAPITOLUL IDISPOZIȚII GENERALE</w:t>
      </w:r>
      <w:bookmarkEnd w:id="0"/>
      <w:bookmarkEnd w:id="1"/>
      <w:bookmarkEnd w:id="2"/>
    </w:p>
    <w:p>
      <w:pPr>
        <w:spacing w:after="120" w:line="288" w:lineRule="auto"/>
        <w:ind w:firstLine="357"/>
        <w:rPr>
          <w:lang w:val="ro-RO"/>
        </w:rPr>
      </w:pPr>
    </w:p>
    <w:p>
      <w:pPr>
        <w:pStyle w:val="Heading2"/>
        <w:spacing w:before="0" w:after="240" w:line="276" w:lineRule="auto"/>
        <w:rPr>
          <w:rFonts w:ascii="Verdana" w:hAnsi="Verdana" w:cs="Verdana"/>
          <w:i w:val="0"/>
          <w:iCs w:val="0"/>
          <w:sz w:val="24"/>
          <w:szCs w:val="24"/>
          <w:lang w:val="ro-RO"/>
        </w:rPr>
      </w:pPr>
      <w:bookmarkStart w:id="3" w:name="_Toc180478977"/>
      <w:bookmarkStart w:id="4" w:name="_Toc180479026"/>
      <w:bookmarkStart w:id="5" w:name="_Toc340647366"/>
      <w:bookmarkStart w:id="6" w:name="_Toc41469104"/>
      <w:r>
        <w:rPr>
          <w:rFonts w:ascii="Verdana" w:hAnsi="Verdana" w:cs="Verdana"/>
          <w:i w:val="0"/>
          <w:iCs w:val="0"/>
          <w:sz w:val="24"/>
          <w:szCs w:val="24"/>
          <w:lang w:val="ro-RO"/>
        </w:rPr>
        <w:t>SECTIUNEA1</w:t>
      </w:r>
      <w:r>
        <w:rPr>
          <w:rFonts w:ascii="Verdana" w:hAnsi="Verdana" w:cs="Verdana"/>
          <w:i w:val="0"/>
          <w:iCs w:val="0"/>
          <w:sz w:val="24"/>
          <w:szCs w:val="24"/>
          <w:lang w:val="ro-RO"/>
        </w:rPr>
        <w:tab/>
        <w:t>Domeniulde aplicare</w:t>
      </w:r>
      <w:bookmarkEnd w:id="3"/>
      <w:bookmarkEnd w:id="4"/>
      <w:bookmarkEnd w:id="5"/>
      <w:bookmarkEnd w:id="6"/>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4"/>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 xml:space="preserve">Prevederile prezentului Regulament se aplică serviciului public de salubrizare, denumit în continuare </w:t>
      </w:r>
      <w:r>
        <w:rPr>
          <w:rFonts w:ascii="Verdana" w:hAnsi="Verdana" w:cs="Verdana"/>
          <w:i/>
          <w:iCs/>
          <w:sz w:val="20"/>
          <w:szCs w:val="20"/>
        </w:rPr>
        <w:t>Serviciu de salubrizare</w:t>
      </w:r>
      <w:r>
        <w:rPr>
          <w:rFonts w:ascii="Verdana" w:hAnsi="Verdana" w:cs="Verdana"/>
          <w:sz w:val="20"/>
          <w:szCs w:val="20"/>
        </w:rPr>
        <w:t>,altuturor unităților administrativ-teritoriale din Județul Caraș Severin, membre al Asociației de Dezvoltare Intercomunitară „INTERCOMDEȘEURI CARAȘ SEVERIN” (denumităADI INTERCOMDEȘEURI CARAȘ SEVERIN).</w:t>
      </w:r>
    </w:p>
    <w:p>
      <w:pPr>
        <w:pStyle w:val="ListParagraph"/>
        <w:numPr>
          <w:ilvl w:val="0"/>
          <w:numId w:val="94"/>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Prezentul Regulament stabilește cadrul juridic unitar privind desfășurarea Serviciului de salubrizare, definind modalitățile și condițiile ce trebuie îndeplinite pentru asigurarea serviciului de salubrizare, indicatorii de performanță, condițiile tehnice, raporturile dintre operatori și utilizatori.</w:t>
      </w:r>
    </w:p>
    <w:p>
      <w:pPr>
        <w:pStyle w:val="ListParagraph"/>
        <w:numPr>
          <w:ilvl w:val="0"/>
          <w:numId w:val="94"/>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Prevederile prezentului Regulament se aplică la proiectarea, executarea, recepționarea, exploatarea și întreținerea instalațiilor și echipamentelor din sistemul public de salubrizare, cu urmărirea tuturor cerințelor legale specifice în vigoare.</w:t>
      </w:r>
    </w:p>
    <w:p>
      <w:pPr>
        <w:pStyle w:val="ListParagraph"/>
        <w:numPr>
          <w:ilvl w:val="0"/>
          <w:numId w:val="94"/>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Operatorii serviciului de salubrizare, indiferent de forma de proprietate și de modul în care este organizată gestiunea serviciului de salubrizare în unitățile administrativ-teritoriale membre ale ADI INTERCOMDEȘEURI CARAȘ SEVERIN, se vor conforma prevederilor prezentului Regulament.</w:t>
      </w:r>
    </w:p>
    <w:p>
      <w:pPr>
        <w:pStyle w:val="ListParagraph"/>
        <w:numPr>
          <w:ilvl w:val="0"/>
          <w:numId w:val="94"/>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Gestiunea serviciilor de salubrizare se realizează în următoarele modalități:</w:t>
      </w:r>
    </w:p>
    <w:p>
      <w:pPr>
        <w:numPr>
          <w:ilvl w:val="0"/>
          <w:numId w:val="2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gestiune directă;</w:t>
      </w:r>
    </w:p>
    <w:p>
      <w:pPr>
        <w:numPr>
          <w:ilvl w:val="0"/>
          <w:numId w:val="2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gestiune indirectă sau gestiune delegată.</w:t>
      </w: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Pentru municipiul Caransebeș(conform Anexei 2) activitățile serviciului de salubrizare prevăzute la art.2, lit. a) și b)din Legea 101/2006 a serviciului de salubrizare a localităților cu modificările și completările ulterioare vor fi asigurate prin gestiune delegată, cu excepția activității de colectare și transport, care este asigurată prin gestiune directă. Pentru unitățile administrativ-teritoriale aferente Zonei 1 Reșița (mai puțin municipiul Caransebeș), Zonei 2 Bozovici, Zonei 3 Pojejena, Zonei 4 Oravița, Zonei 5 Băile Herculane, și Zonei 6 Oțelu Roșu,activitățile serviciului de salubrizare sunt asigurate prin gestiune delegată. Activitatea de sortare a deșeurilor municipale (art.2, lit. e) din Legea 101/2006 a serviciului de salubrizare a localităților cu modificările și completările ulterioare) se realizează pentru toate unitățile administrativ-teritoriale aferente tuturor celor 6 zone prin gestiune delegată. Activitatea de tratare mecano-biologică a deșeurilor municipale (art. 2, lit. i) din Legea 101/2006 a serviciului de salubrizare a localităților cu modificările și completările ulterioare) se realizează pentru toate unitățile administrativ-teritoriale aferente tuturor celor 6 zone prin gestiune delegată. Pentru toate unitățile administrativ-teritoriale din județ activitatea de operare și administrare a depozitului de deșeuri (art. 2 lit.j) din Legea 101/2006 a serviciului de salubrizare a localităților cu modificările și completările ulterioare) se asigură prin </w:t>
      </w:r>
      <w:r>
        <w:rPr>
          <w:rFonts w:ascii="Verdana" w:hAnsi="Verdana" w:cs="Verdana"/>
          <w:sz w:val="20"/>
          <w:szCs w:val="20"/>
          <w:lang w:val="ro-RO"/>
        </w:rPr>
        <w:lastRenderedPageBreak/>
        <w:t>gestiune delegată. Pentru toate celelalte activități ale serviciului (art.2, lit. f), g), h) și k) din Legea 101/2006 a serviciului de salubrizare a localităților cu modificările și completările ulterioare) unitățile administrativ-teritoriale vor decide prin Regulamentul propriu de salubrizare modul de gestiune a acestor activități.</w:t>
      </w:r>
    </w:p>
    <w:p>
      <w:pPr>
        <w:pStyle w:val="ListParagraph"/>
        <w:numPr>
          <w:ilvl w:val="0"/>
          <w:numId w:val="94"/>
        </w:numPr>
        <w:autoSpaceDE w:val="0"/>
        <w:autoSpaceDN w:val="0"/>
        <w:adjustRightInd w:val="0"/>
        <w:spacing w:after="240"/>
        <w:jc w:val="both"/>
        <w:rPr>
          <w:rFonts w:ascii="Verdana" w:hAnsi="Verdana" w:cs="Verdana"/>
          <w:color w:val="0000FF"/>
          <w:sz w:val="20"/>
          <w:szCs w:val="20"/>
        </w:rPr>
      </w:pPr>
      <w:r>
        <w:rPr>
          <w:rFonts w:ascii="Verdana" w:hAnsi="Verdana" w:cs="Verdana"/>
          <w:sz w:val="20"/>
          <w:szCs w:val="20"/>
        </w:rPr>
        <w:t>Condițiile tehnice și indicatorii de performanță prevăzuți în prezentul regulament au caracter minimal. ADI INTERCOMDEȘEURI CARAȘ SEVERIN poate aproba și alți indicatori de performanță sau condiții tehnice pentru serviciul de salubrizare, pe baza unor studii de specialitate, după dezbaterea publică a acestora.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Prezentul Regulament se aplică următoarelor activități de salubrizare (conform art.2 din Legea 101/2006 a serviciului de salubrizare a localităților cu modificările și completările ulterioare):</w:t>
      </w:r>
    </w:p>
    <w:p>
      <w:pPr>
        <w:numPr>
          <w:ilvl w:val="1"/>
          <w:numId w:val="33"/>
        </w:numPr>
        <w:tabs>
          <w:tab w:val="clear" w:pos="1080"/>
          <w:tab w:val="num" w:pos="720"/>
        </w:tabs>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colectarea separată şi transportul separat al deşeurilor municipale și al deșeurilor asimilabile provenite din activități comerciale, din industrie și instituții, inclusiv fracții colectate separat, fără a aduce atingere fluxului de deșeuri de echipamente electrice și electronice, baterii și acumulatori;</w:t>
      </w:r>
    </w:p>
    <w:p>
      <w:pPr>
        <w:numPr>
          <w:ilvl w:val="1"/>
          <w:numId w:val="33"/>
        </w:numPr>
        <w:tabs>
          <w:tab w:val="clear" w:pos="1080"/>
          <w:tab w:val="num" w:pos="720"/>
        </w:tabs>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colectarea și transportul deșeurilor provenite din locuințe, generate de activitățile de reamenajare și reabilitare interioară și/sau exterioară a acestora (deșeuri din construcții și desființări);</w:t>
      </w:r>
    </w:p>
    <w:p>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organizarea prelucrării, neutralizării şi valorificării materiale şi energetice a deşeurilor;</w:t>
      </w:r>
    </w:p>
    <w:p>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operarea/administrarea stațiilor de transfer pentru deșeurile municipale și deșeurile similare;</w:t>
      </w:r>
    </w:p>
    <w:p>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Pr>
          <w:rFonts w:ascii="Verdana" w:hAnsi="Verdana" w:cs="Verdana"/>
          <w:sz w:val="20"/>
          <w:szCs w:val="20"/>
          <w:lang w:val="ro-RO"/>
        </w:rPr>
        <w:t>sortarea deșeurilor municipale și deșeurilor similare în stațiile de sortare;</w:t>
      </w:r>
    </w:p>
    <w:p>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Pr>
          <w:rFonts w:ascii="Verdana" w:hAnsi="Verdana" w:cs="Verdana"/>
          <w:sz w:val="20"/>
          <w:szCs w:val="20"/>
          <w:lang w:val="ro-RO"/>
        </w:rPr>
        <w:t>organizarea tratării mecano-biologice a deșeurilor municipale și a deșeurilor similare;</w:t>
      </w:r>
    </w:p>
    <w:p>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Pr>
          <w:rFonts w:ascii="Verdana" w:hAnsi="Verdana" w:cs="Verdana"/>
          <w:sz w:val="20"/>
          <w:szCs w:val="20"/>
          <w:lang w:val="ro-RO"/>
        </w:rPr>
        <w:t>administrarea depozitelor de deșeuri și/sau a instalațiilor de eliminare a deșeurilor municipale și a deșeurilor similare.</w:t>
      </w: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 asemenea, prezentul Regulament se aplică și activității de compostare la domiciliu a deșeurilor biodegradabile menajere.</w:t>
      </w: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Ulterior aprobării prezentului Regulament, fiecare unitate administrativ-teritorială va elabora și aproba propriul Regulament de salubrizare care va conține, pe lângă prevederile prezentului Regulament, și prevederi specifice ale activităților de salubrizare (conform art. 2 din Legea 101/2006 a serviciului de salubrizare a localităților cu modificările și completările ulterioare) care nu fac parte din prezentul Regulament, și anume:</w:t>
      </w:r>
    </w:p>
    <w:p>
      <w:pPr>
        <w:numPr>
          <w:ilvl w:val="0"/>
          <w:numId w:val="4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măturatul, spălatul, stropirea și întreținerea căilor publice;</w:t>
      </w:r>
    </w:p>
    <w:p>
      <w:pPr>
        <w:numPr>
          <w:ilvl w:val="0"/>
          <w:numId w:val="4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curățarea și transportul zăpezii de pe căile publice și menținerea în funcțiune a acestora pe timp de polei sau de îngheț;</w:t>
      </w:r>
    </w:p>
    <w:p>
      <w:pPr>
        <w:numPr>
          <w:ilvl w:val="0"/>
          <w:numId w:val="4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cadavrelor animalelor de pe domeniul public și predarea acestora unităților de ecarisaj sau către instalații de neutralizare;</w:t>
      </w:r>
    </w:p>
    <w:p>
      <w:pPr>
        <w:numPr>
          <w:ilvl w:val="0"/>
          <w:numId w:val="4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dezinsecția, dezinfecția și deratizarea.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Modul de organizare și funcționare al serviciului de salubrizare trebuie să se realizeze pe baza următoarelor principii:</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protecția sănătății populației;</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responsabilitatea față de cetățeni;</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conservarea și protecția mediului înconjurător;</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asigurarea calității și continuității serviciului;</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tarifarea echitabilă, corelată cu calitatea și cantitatea serviciului prestat;</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securitatea serviciului;</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dezvoltarea durabilă.</w:t>
      </w:r>
    </w:p>
    <w:p>
      <w:pPr>
        <w:numPr>
          <w:ilvl w:val="0"/>
          <w:numId w:val="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îndeplinirea obiectivelor de gestionare a deșeurilor municipale/indicatorilor de performanță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Termenii și noțiunile utilizate în prezentul regulament se definesc după cum urmează:</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autoritate competentă de reglementare</w:t>
      </w:r>
      <w:r>
        <w:rPr>
          <w:rFonts w:ascii="Verdana" w:hAnsi="Verdana" w:cs="Verdana"/>
          <w:sz w:val="20"/>
          <w:szCs w:val="20"/>
          <w:lang w:val="ro-RO"/>
        </w:rPr>
        <w:t xml:space="preserve"> - Autoritatea Națională de Reglementare pentru Serviciile Comunitare de Utilități Publice, denumită în continuare A.N.R.S.C.;</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compost</w:t>
      </w:r>
      <w:r>
        <w:rPr>
          <w:rFonts w:ascii="Verdana" w:hAnsi="Verdana" w:cs="Verdana"/>
          <w:sz w:val="20"/>
          <w:szCs w:val="20"/>
          <w:lang w:val="ro-RO"/>
        </w:rPr>
        <w:t xml:space="preserve"> - produs rezultat din procesul de tratare aerobă, prin descompunere microbiană a componentei organice din deșeurile supuse compostării;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colectare</w:t>
      </w:r>
      <w:r>
        <w:rPr>
          <w:rFonts w:ascii="Verdana" w:hAnsi="Verdana" w:cs="Verdana"/>
          <w:sz w:val="20"/>
          <w:szCs w:val="20"/>
          <w:lang w:val="ro-RO"/>
        </w:rPr>
        <w:t>–strângerea deșeurilor, inclusiv stocarea și sortarea preliminară a deșeurilor, în vederea transportării la o instalație de tratare;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colectare separată</w:t>
      </w:r>
      <w:r>
        <w:rPr>
          <w:rFonts w:ascii="Verdana" w:hAnsi="Verdana" w:cs="Verdana"/>
          <w:sz w:val="20"/>
          <w:szCs w:val="20"/>
          <w:lang w:val="ro-RO"/>
        </w:rPr>
        <w:t xml:space="preserve"> - colectarea în cadrul căreia un flux de deșeuri este păstrat separat în funcție de tipul și natura deșeurilor, cu scopul de a facilita tratarea specifică a acestora;</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curățarea zăpezii/gheții</w:t>
      </w:r>
      <w:r>
        <w:rPr>
          <w:rFonts w:ascii="Verdana" w:hAnsi="Verdana" w:cs="Verdana"/>
          <w:sz w:val="20"/>
          <w:szCs w:val="20"/>
          <w:lang w:val="ro-RO"/>
        </w:rPr>
        <w:t xml:space="preserve"> - operațiunea de îndepărtare a stratului de zăpadă sau de gheață depus pe suprafața carosabilă și pietonală, în scopul asigurării deplasării vehiculelor și pietonilor în condiții de siguranță;</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lastRenderedPageBreak/>
        <w:t>curățarea rigolelor</w:t>
      </w:r>
      <w:r>
        <w:rPr>
          <w:rFonts w:ascii="Verdana" w:hAnsi="Verdana" w:cs="Verdana"/>
          <w:sz w:val="20"/>
          <w:szCs w:val="20"/>
          <w:lang w:val="ro-RO"/>
        </w:rPr>
        <w:t xml:space="preserve"> - operațiunea de îndepărtare manuală sau mecanizată a depunerilor de noroi, nisip și praf de pe o porțiune de 0,75 m de la bordura spre axul median al străzii, urmată de maturare și/sau stropire;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depozit</w:t>
      </w:r>
      <w:r>
        <w:rPr>
          <w:rFonts w:ascii="Verdana" w:hAnsi="Verdana" w:cs="Verdana"/>
          <w:sz w:val="20"/>
          <w:szCs w:val="20"/>
          <w:lang w:val="ro-RO"/>
        </w:rPr>
        <w:t xml:space="preserve"> - amplasament pentru eliminarea finală a deșeurilor, prin depozitare pe sol sau în subteran;</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deratizare</w:t>
      </w:r>
      <w:r>
        <w:rPr>
          <w:rFonts w:ascii="Verdana" w:hAnsi="Verdana" w:cs="Verdana"/>
          <w:sz w:val="20"/>
          <w:szCs w:val="20"/>
          <w:lang w:val="ro-RO"/>
        </w:rPr>
        <w:t xml:space="preserve"> - activitatea de stârpire a șoarecilor și șobolanilor prin otrăvire cu substanțe chimice sau prin culturi microbiene;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w:t>
      </w:r>
      <w:r>
        <w:rPr>
          <w:rFonts w:ascii="Verdana" w:hAnsi="Verdana" w:cs="Verdana"/>
          <w:sz w:val="20"/>
          <w:szCs w:val="20"/>
          <w:lang w:val="ro-RO"/>
        </w:rPr>
        <w:t xml:space="preserve"> - orice substanță sau obiect pe care deținătorul le aruncă sau are intenția sau obligația să le arunce;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deșeuri menajere </w:t>
      </w:r>
      <w:r>
        <w:rPr>
          <w:rFonts w:ascii="Verdana" w:hAnsi="Verdana" w:cs="Verdana"/>
          <w:sz w:val="20"/>
          <w:szCs w:val="20"/>
          <w:lang w:val="ro-RO"/>
        </w:rPr>
        <w:t>- deșeurile provenite din gospodării/locuințe;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similare</w:t>
      </w:r>
      <w:r>
        <w:rPr>
          <w:rFonts w:ascii="Verdana" w:hAnsi="Verdana" w:cs="Verdana"/>
          <w:sz w:val="20"/>
          <w:szCs w:val="20"/>
          <w:lang w:val="ro-RO"/>
        </w:rPr>
        <w:t xml:space="preserve">- deșeurile care, din punctul de vedere al naturii și al compoziției, sunt comparabile cu deșeurile menajere, exclusiv deșeurile din producție, din agricultură și din activități forestiere. </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biodeșeuri </w:t>
      </w:r>
      <w:r>
        <w:rPr>
          <w:rFonts w:ascii="Verdana" w:hAnsi="Verdana" w:cs="Verdana"/>
          <w:sz w:val="20"/>
          <w:szCs w:val="20"/>
          <w:lang w:val="ro-RO"/>
        </w:rPr>
        <w:t>- deșeuri care suferă descompuneri anaerobe sau aerobe, cum ar fi deșeurile alimentare ori de grădină, hârtia și cartonul;</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cu regim special</w:t>
      </w:r>
      <w:r>
        <w:rPr>
          <w:rFonts w:ascii="Verdana" w:hAnsi="Verdana" w:cs="Verdana"/>
          <w:sz w:val="20"/>
          <w:szCs w:val="20"/>
          <w:lang w:val="ro-RO"/>
        </w:rPr>
        <w:t>– deșeuri a căror manipulare, colectare, transport și depozitare se supun unui regim reglementat prin acte normative în vederea evitării efectelor negative asupra sănătății oamenilor, bunurilor și asupra mediului înconjurător;</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de ambalaje</w:t>
      </w:r>
      <w:r>
        <w:rPr>
          <w:rFonts w:ascii="Verdana" w:hAnsi="Verdana" w:cs="Verdana"/>
          <w:sz w:val="20"/>
          <w:szCs w:val="20"/>
          <w:lang w:val="ro-RO"/>
        </w:rPr>
        <w:t xml:space="preserve"> - orice ambalaje sau materiale de ambalare care satisfac cerințele definiției de deșeu;</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din construcții și demolări nepericuloase</w:t>
      </w:r>
      <w:r>
        <w:rPr>
          <w:rFonts w:ascii="Verdana" w:hAnsi="Verdana" w:cs="Verdana"/>
          <w:sz w:val="20"/>
          <w:szCs w:val="20"/>
          <w:lang w:val="ro-RO"/>
        </w:rPr>
        <w:t xml:space="preserve"> - deșeuri rezultate în urma demolării sau construirii clădirilor, șoselelor și a altor structuri de obiective industriale ori civile, care nu suntîncadrate ca deșeuri periculoase conform prevederilor legale în vigoare;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municipale</w:t>
      </w:r>
      <w:r>
        <w:rPr>
          <w:rFonts w:ascii="Verdana" w:hAnsi="Verdana" w:cs="Verdana"/>
          <w:sz w:val="20"/>
          <w:szCs w:val="20"/>
          <w:lang w:val="ro-RO"/>
        </w:rPr>
        <w:t xml:space="preserve"> - deșeurile menajere și similare;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reciclabile</w:t>
      </w:r>
      <w:r>
        <w:rPr>
          <w:rFonts w:ascii="Verdana" w:hAnsi="Verdana" w:cs="Verdana"/>
          <w:sz w:val="20"/>
          <w:szCs w:val="20"/>
          <w:lang w:val="ro-RO"/>
        </w:rPr>
        <w:t xml:space="preserve"> - deșeu care, în urma unor procese suferite, poate constitui materie primăîntr-un proces de producție pentru obținerea produsului inițial sau pentru alte scopuri;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de origine animală</w:t>
      </w:r>
      <w:r>
        <w:rPr>
          <w:rFonts w:ascii="Verdana" w:hAnsi="Verdana" w:cs="Verdana"/>
          <w:sz w:val="20"/>
          <w:szCs w:val="20"/>
          <w:lang w:val="ro-RO"/>
        </w:rPr>
        <w:t xml:space="preserve"> - subproduse de origine animală ce nu sunt destinate consumului uman, cadavre întregi sau porțiuni de cadavre provenite de la animale;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periculoase</w:t>
      </w:r>
      <w:r>
        <w:rPr>
          <w:rFonts w:ascii="Verdana" w:hAnsi="Verdana" w:cs="Verdana"/>
          <w:sz w:val="20"/>
          <w:szCs w:val="20"/>
          <w:lang w:val="ro-RO"/>
        </w:rPr>
        <w:t xml:space="preserve"> – deșeuri definite în Anexa nr. 4 la Legea 211/2011 privind regimul deșeurilor;</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deșeuri stradale</w:t>
      </w:r>
      <w:r>
        <w:rPr>
          <w:rFonts w:ascii="Verdana" w:hAnsi="Verdana" w:cs="Verdana"/>
          <w:sz w:val="20"/>
          <w:szCs w:val="20"/>
          <w:lang w:val="ro-RO"/>
        </w:rPr>
        <w:t xml:space="preserve"> - deșeuri specifice căilor de circulație publică, provenite din activitatea cotidiană a populației, de la spațiile verzi, de la animale, din depunerea de substanțe solide provenite din atmosferă;</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lastRenderedPageBreak/>
        <w:t>deșeuri voluminoase</w:t>
      </w:r>
      <w:r>
        <w:rPr>
          <w:rFonts w:ascii="Verdana" w:hAnsi="Verdana" w:cs="Verdana"/>
          <w:sz w:val="20"/>
          <w:szCs w:val="20"/>
          <w:lang w:val="ro-RO"/>
        </w:rPr>
        <w:t xml:space="preserve"> - deșeuri municipale solide de diferite proveniențe, care, datorită dimensiunilor lor, nu pot fi preluate cu sistemele obișnuite de colectare, ci necesită o tratare diferențiată față de acestea, din punct de vedere al preluării și transportului;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deținător</w:t>
      </w:r>
      <w:r>
        <w:rPr>
          <w:rFonts w:ascii="Verdana" w:hAnsi="Verdana" w:cs="Verdana"/>
          <w:sz w:val="20"/>
          <w:szCs w:val="20"/>
          <w:lang w:val="ro-RO"/>
        </w:rPr>
        <w:t>de deșeuri - producătorul de deșeuri sau persoana fizică sau juridicăcare se află în posesia acestora;</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dezinfecție</w:t>
      </w:r>
      <w:r>
        <w:rPr>
          <w:rFonts w:ascii="Verdana" w:hAnsi="Verdana" w:cs="Verdana"/>
          <w:sz w:val="20"/>
          <w:szCs w:val="20"/>
          <w:lang w:val="ro-RO"/>
        </w:rPr>
        <w:t xml:space="preserve"> - activitatea de distrugere a germenilor patogeni cu substanțe specifice, în scopul eliminării surselor de contaminare;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dezinsecție</w:t>
      </w:r>
      <w:r>
        <w:rPr>
          <w:rFonts w:ascii="Verdana" w:hAnsi="Verdana" w:cs="Verdana"/>
          <w:sz w:val="20"/>
          <w:szCs w:val="20"/>
          <w:lang w:val="ro-RO"/>
        </w:rPr>
        <w:t xml:space="preserve"> - activitatea de combatere a insectelor în stadiul de larvă sau adult cu substanțe chimice specifice;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ecarisare</w:t>
      </w:r>
      <w:r>
        <w:rPr>
          <w:rFonts w:ascii="Verdana" w:hAnsi="Verdana" w:cs="Verdana"/>
          <w:sz w:val="20"/>
          <w:szCs w:val="20"/>
          <w:lang w:val="ro-RO"/>
        </w:rPr>
        <w:t xml:space="preserve"> - activitatea de colectare a deșeurilor de origine animală/subproduse de origine animală ce nu sunt destinate consumului uman, în scopul procesării sau incinerării/coincinerării acestora, incluzând activitățile de transport, depozitare și manipulare a acestora, după caz;</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eliminare - </w:t>
      </w:r>
      <w:r>
        <w:rPr>
          <w:rFonts w:ascii="Verdana" w:hAnsi="Verdana" w:cs="Verdana"/>
          <w:sz w:val="20"/>
          <w:szCs w:val="20"/>
          <w:lang w:val="ro-RO"/>
        </w:rPr>
        <w:t>orice operaţiune care nu este o operațiune de valorificare, chiar și în cazul în care una dintre consecințele secundare ale acesteia ar fi recuperarea de substanțe sau de energie; anexa nr. 2 la Legea 211/2011 privind regimul deșeurilor stabilește o listă a operațiunilor de eliminare, listă care nu este exhaustivă;</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gestionarea deșeurilor</w:t>
      </w:r>
      <w:r>
        <w:rPr>
          <w:rFonts w:ascii="Verdana" w:hAnsi="Verdana" w:cs="Verdana"/>
          <w:sz w:val="20"/>
          <w:szCs w:val="20"/>
          <w:lang w:val="ro-RO"/>
        </w:rPr>
        <w:t xml:space="preserve"> - colectarea, transportul, valorificarea și eliminarea deșeurilor, inclusiv supravegherea acestor operațiuni și întreținerea ulterioare a amplasamentelor de eliminare, inclusiv acțiunile întreprinse de un comerciant sau un broker;</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incinerare </w:t>
      </w:r>
      <w:r>
        <w:rPr>
          <w:rFonts w:ascii="Verdana" w:hAnsi="Verdana" w:cs="Verdana"/>
          <w:sz w:val="20"/>
          <w:szCs w:val="20"/>
          <w:lang w:val="ro-RO"/>
        </w:rPr>
        <w:t>- operația de tratare termică a deșeurilor, cu sau fără recuperare de căldură, realizată în instalații care respectă legislația în vigoare privind incinerarea deșeurilor;</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instalație de incinerare</w:t>
      </w:r>
      <w:r>
        <w:rPr>
          <w:rFonts w:ascii="Verdana" w:hAnsi="Verdana" w:cs="Verdana"/>
          <w:sz w:val="20"/>
          <w:szCs w:val="20"/>
          <w:lang w:val="ro-RO"/>
        </w:rPr>
        <w:t xml:space="preserve"> - orice instalație tehnică fixă sau mobilă și echipamentul destinat tratamentului termic al deșeurilor, cu sau fără recuperarea căldurii de ardere rezultate;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indicatori de performanță</w:t>
      </w:r>
      <w:r>
        <w:rPr>
          <w:rFonts w:ascii="Verdana" w:hAnsi="Verdana" w:cs="Verdana"/>
          <w:sz w:val="20"/>
          <w:szCs w:val="20"/>
          <w:lang w:val="ro-RO"/>
        </w:rPr>
        <w:t xml:space="preserve"> - parametri ai serviciului de salubrizare, realizați de operatorul de servicii, pentru care se stabilesc niveluri minime de calitate, urmăriți la nivelul operatorului titular al licenței;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licența</w:t>
      </w:r>
      <w:r>
        <w:rPr>
          <w:rFonts w:ascii="Verdana" w:hAnsi="Verdana" w:cs="Verdana"/>
          <w:sz w:val="20"/>
          <w:szCs w:val="20"/>
          <w:lang w:val="ro-RO"/>
        </w:rPr>
        <w:t xml:space="preserve"> - actul tehnic și juridic emis de A.N.R.S.C., prin care se recunoaște calitatea de operator al serviciului, precum și capacitatea și dreptul de a presta una sau mai multe activități ale acestuia;</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măturat</w:t>
      </w:r>
      <w:r>
        <w:rPr>
          <w:rFonts w:ascii="Verdana" w:hAnsi="Verdana" w:cs="Verdana"/>
          <w:sz w:val="20"/>
          <w:szCs w:val="20"/>
          <w:lang w:val="ro-RO"/>
        </w:rPr>
        <w:t xml:space="preserve"> - activitatea de salubrizare a localităților, care, prin aplicarea unor procedee manuale sau mecanice, realizează un grad bine determinat de curățare a suprafețelor de circulație, de odihnă sau de agrement ale așezărilor urbane ori rurale;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lastRenderedPageBreak/>
        <w:t>neutralizare a deșeurilor de origine animală</w:t>
      </w:r>
      <w:r>
        <w:rPr>
          <w:rFonts w:ascii="Verdana" w:hAnsi="Verdana" w:cs="Verdana"/>
          <w:sz w:val="20"/>
          <w:szCs w:val="20"/>
          <w:lang w:val="ro-RO"/>
        </w:rPr>
        <w:t xml:space="preserve"> - activitatea prin care se modifică caracterul periculos al deșeurilor de origine animală prin procesare, incinerare/coincinerare, transformarea lor în produse stabile biologic, nepericuloase pentru mediul înconjurător, animale sau om, respectiv activitatea de îngropare a acestora;</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precolectare </w:t>
      </w:r>
      <w:r>
        <w:rPr>
          <w:rFonts w:ascii="Verdana" w:hAnsi="Verdana" w:cs="Verdana"/>
          <w:sz w:val="20"/>
          <w:szCs w:val="20"/>
          <w:lang w:val="ro-RO"/>
        </w:rPr>
        <w:t>– activitatea utilizatorului de strângere și stocare temporară a deșeurilor municipale în recipiente, containere sau puncte de colectare, amplasate în spații special amenajate;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producător de deșeuri</w:t>
      </w:r>
      <w:r>
        <w:rPr>
          <w:rFonts w:ascii="Verdana" w:hAnsi="Verdana" w:cs="Verdana"/>
          <w:sz w:val="20"/>
          <w:szCs w:val="20"/>
          <w:lang w:val="ro-RO"/>
        </w:rPr>
        <w:t xml:space="preserve"> – orice persoană din a cărei activitate rezultă deșeuri (producător inițial de deșeuri) sau orice persoanăcare efectuează operațiuni de pretratare, de amestecare sau de alt tip, care duc la modificarea naturii sau a compoziției acestor deșeuri;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reciclare</w:t>
      </w:r>
      <w:r>
        <w:rPr>
          <w:rFonts w:ascii="Verdana" w:hAnsi="Verdana" w:cs="Verdana"/>
          <w:sz w:val="20"/>
          <w:szCs w:val="20"/>
          <w:lang w:val="ro-RO"/>
        </w:rPr>
        <w:t>–orice operațiune de valorificare prin care deșeurile sunt transformate în produse, materiale sau substanțe pentru a-și îndeplini funcția lor inițială sau pentru alte scopuri; aceasta include retratarea materialelor organice, dar nu include valorificarea energetică și conversia în vederea folosirii materialelor drept combustibil sau pentru operațiunile de umplere;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salubrizare</w:t>
      </w:r>
      <w:r>
        <w:rPr>
          <w:rFonts w:ascii="Verdana" w:hAnsi="Verdana" w:cs="Verdana"/>
          <w:sz w:val="20"/>
          <w:szCs w:val="20"/>
          <w:lang w:val="ro-RO"/>
        </w:rPr>
        <w:t xml:space="preserve"> - totalitatea operațiunilor și activităților necesare pentru păstrarea unui aspect salubru al localităților;</w:t>
      </w:r>
    </w:p>
    <w:p>
      <w:pPr>
        <w:numPr>
          <w:ilvl w:val="0"/>
          <w:numId w:val="2"/>
        </w:numPr>
        <w:autoSpaceDE w:val="0"/>
        <w:autoSpaceDN w:val="0"/>
        <w:adjustRightInd w:val="0"/>
        <w:spacing w:after="240" w:line="276" w:lineRule="auto"/>
        <w:jc w:val="both"/>
        <w:rPr>
          <w:rFonts w:ascii="Arial" w:hAnsi="Arial" w:cs="Arial"/>
          <w:strike/>
          <w:sz w:val="22"/>
          <w:szCs w:val="22"/>
          <w:lang w:val="ro-RO"/>
        </w:rPr>
      </w:pPr>
      <w:r>
        <w:rPr>
          <w:rFonts w:ascii="Verdana" w:hAnsi="Verdana" w:cs="Verdana"/>
          <w:i/>
          <w:iCs/>
          <w:sz w:val="20"/>
          <w:szCs w:val="20"/>
          <w:lang w:val="ro-RO"/>
        </w:rPr>
        <w:t>Sistempublic de salubrizare</w:t>
      </w:r>
      <w:r>
        <w:rPr>
          <w:rFonts w:ascii="Verdana" w:hAnsi="Verdana" w:cs="Verdana"/>
          <w:sz w:val="20"/>
          <w:szCs w:val="20"/>
          <w:lang w:val="ro-RO"/>
        </w:rPr>
        <w:t xml:space="preserve"> -ansamblul instalațiilor tehnologice, echipamentelor funcționale și dotărilor specifice, construcțiilor și terenurilor aferente prin care se realizează serviciul de salubrizare;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sortare</w:t>
      </w:r>
      <w:r>
        <w:rPr>
          <w:rFonts w:ascii="Verdana" w:hAnsi="Verdana" w:cs="Verdana"/>
          <w:sz w:val="20"/>
          <w:szCs w:val="20"/>
          <w:lang w:val="ro-RO"/>
        </w:rPr>
        <w:t xml:space="preserve"> - activitatea de separare pe tipuri de materiale și stocarea temporară a deșeurilor reciclabile în vederea transportării lor la operatorii economici specializați;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spălarea străzilor</w:t>
      </w:r>
      <w:r>
        <w:rPr>
          <w:rFonts w:ascii="Verdana" w:hAnsi="Verdana" w:cs="Verdana"/>
          <w:sz w:val="20"/>
          <w:szCs w:val="20"/>
          <w:lang w:val="ro-RO"/>
        </w:rPr>
        <w:t xml:space="preserve"> - activitatea de salubrizare care se execută mecanizat, cu instalații speciale, folosindu-se apă, cu sau fără soluții speciale, în vederea îndepărtării deșeurilor și prafului de pe străzi și trotuare;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stație de transfer</w:t>
      </w:r>
      <w:r>
        <w:rPr>
          <w:rFonts w:ascii="Verdana" w:hAnsi="Verdana" w:cs="Verdana"/>
          <w:sz w:val="20"/>
          <w:szCs w:val="20"/>
          <w:lang w:val="ro-RO"/>
        </w:rPr>
        <w:t xml:space="preserve"> - spațiu special amenajat pentru stocarea temporară a deșeurilor colectate din aceeași localitate sau din localități distincte, în vederea transportării centralizate a acestora la o instalație de tratare sau eliminare.</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stropitul străzilor</w:t>
      </w:r>
      <w:r>
        <w:rPr>
          <w:rFonts w:ascii="Verdana" w:hAnsi="Verdana" w:cs="Verdana"/>
          <w:sz w:val="20"/>
          <w:szCs w:val="20"/>
          <w:lang w:val="ro-RO"/>
        </w:rPr>
        <w:t xml:space="preserve"> - activitatea de salubrizare, care constă în dispersarea apei pe suprafețele de circulație, indiferent de natura îmbrăcămintei acestora, spații de odihnă și de agrement, manual sau mecanizat, cu ajutorul unor instalații specializate, în scopul creării unui microclimat favorabil îmbunătățirii stării igienice a localităților și evitării formării prafului;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tratare</w:t>
      </w:r>
      <w:r>
        <w:rPr>
          <w:rFonts w:ascii="Verdana" w:hAnsi="Verdana" w:cs="Verdana"/>
          <w:sz w:val="20"/>
          <w:szCs w:val="20"/>
          <w:lang w:val="ro-RO"/>
        </w:rPr>
        <w:t>– operațiunile de valorificare sau eliminare, inclusiv pregătirea prealabilă valorificării sau eliminării;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tobogan</w:t>
      </w:r>
      <w:r>
        <w:rPr>
          <w:rFonts w:ascii="Verdana" w:hAnsi="Verdana" w:cs="Verdana"/>
          <w:sz w:val="20"/>
          <w:szCs w:val="20"/>
          <w:lang w:val="ro-RO"/>
        </w:rPr>
        <w:t xml:space="preserve"> - jgheab sau tubulatură folosită drept mijloc de transport prin alunecare a deșeurilor;</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lastRenderedPageBreak/>
        <w:t>utilizator</w:t>
      </w:r>
      <w:r>
        <w:rPr>
          <w:rFonts w:ascii="Verdana" w:hAnsi="Verdana" w:cs="Verdana"/>
          <w:sz w:val="20"/>
          <w:szCs w:val="20"/>
          <w:lang w:val="ro-RO"/>
        </w:rPr>
        <w:t xml:space="preserve"> - persoana fizică sau juridică care beneficiază, direct ori indirect, individual sau colectiv, de serviciile de utilități publice, în condițiile legii.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 xml:space="preserve">utilizatori casnici </w:t>
      </w:r>
      <w:r>
        <w:rPr>
          <w:rFonts w:ascii="Verdana" w:hAnsi="Verdana" w:cs="Verdana"/>
          <w:sz w:val="20"/>
          <w:szCs w:val="20"/>
          <w:lang w:val="ro-RO"/>
        </w:rPr>
        <w:t>– utilizatori persoane fizice, care beneficiază de servicii.</w:t>
      </w:r>
    </w:p>
    <w:p>
      <w:pPr>
        <w:numPr>
          <w:ilvl w:val="0"/>
          <w:numId w:val="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i/>
          <w:iCs/>
          <w:sz w:val="20"/>
          <w:szCs w:val="20"/>
          <w:lang w:val="ro-RO"/>
        </w:rPr>
        <w:t>utilizatori non</w:t>
      </w:r>
      <w:r>
        <w:rPr>
          <w:rFonts w:ascii="Verdana" w:hAnsi="Verdana" w:cs="Verdana"/>
          <w:sz w:val="20"/>
          <w:szCs w:val="20"/>
          <w:lang w:val="ro-RO"/>
        </w:rPr>
        <w:t>-</w:t>
      </w:r>
      <w:r>
        <w:rPr>
          <w:rFonts w:ascii="Verdana" w:hAnsi="Verdana" w:cs="Verdana"/>
          <w:i/>
          <w:iCs/>
          <w:sz w:val="20"/>
          <w:szCs w:val="20"/>
          <w:lang w:val="ro-RO"/>
        </w:rPr>
        <w:t>casnici</w:t>
      </w:r>
      <w:r>
        <w:rPr>
          <w:rFonts w:ascii="Verdana" w:hAnsi="Verdana" w:cs="Verdana"/>
          <w:sz w:val="20"/>
          <w:szCs w:val="20"/>
          <w:lang w:val="ro-RO"/>
        </w:rPr>
        <w:t xml:space="preserve"> – utilizatori persoane juridice (instituții publice, operatori economici, asociații neguvernamentale etc) care beneficiază de servicii.</w:t>
      </w:r>
    </w:p>
    <w:p>
      <w:pPr>
        <w:numPr>
          <w:ilvl w:val="0"/>
          <w:numId w:val="2"/>
        </w:numPr>
        <w:autoSpaceDE w:val="0"/>
        <w:autoSpaceDN w:val="0"/>
        <w:adjustRightInd w:val="0"/>
        <w:spacing w:after="240" w:line="276" w:lineRule="auto"/>
        <w:jc w:val="both"/>
        <w:rPr>
          <w:rFonts w:ascii="Verdana" w:hAnsi="Verdana" w:cs="Verdana"/>
          <w:i/>
          <w:iCs/>
          <w:sz w:val="20"/>
          <w:szCs w:val="20"/>
          <w:lang w:val="ro-RO"/>
        </w:rPr>
      </w:pPr>
      <w:r>
        <w:rPr>
          <w:rFonts w:ascii="Verdana" w:hAnsi="Verdana" w:cs="Verdana"/>
          <w:i/>
          <w:iCs/>
          <w:sz w:val="20"/>
          <w:szCs w:val="20"/>
          <w:lang w:val="ro-RO"/>
        </w:rPr>
        <w:t xml:space="preserve">valorificare - </w:t>
      </w:r>
      <w:r>
        <w:rPr>
          <w:rFonts w:ascii="Verdana" w:hAnsi="Verdana" w:cs="Verdana"/>
          <w:sz w:val="20"/>
          <w:szCs w:val="20"/>
          <w:lang w:val="ro-RO"/>
        </w:rPr>
        <w:t>orice operațiune care are drept rezultat principal faptul că deșeurile servesc unui scop util prin înlocuirea altor materiale care ar fi fost utilizate într-un anumit scop sau faptul ca deșeurile sunt pregătite pentru a putea servi scopului respectiv în întreprinderi ori în economie în general</w:t>
      </w:r>
      <w:r>
        <w:rPr>
          <w:rFonts w:ascii="Verdana" w:hAnsi="Verdana" w:cs="Verdana"/>
          <w:i/>
          <w:iCs/>
          <w:sz w:val="20"/>
          <w:szCs w:val="20"/>
          <w:lang w:val="ro-RO"/>
        </w:rPr>
        <w:t>.</w:t>
      </w:r>
    </w:p>
    <w:p>
      <w:pPr>
        <w:numPr>
          <w:ilvl w:val="0"/>
          <w:numId w:val="33"/>
        </w:numPr>
        <w:autoSpaceDE w:val="0"/>
        <w:autoSpaceDN w:val="0"/>
        <w:adjustRightInd w:val="0"/>
        <w:spacing w:after="240" w:line="276" w:lineRule="auto"/>
        <w:ind w:hanging="357"/>
        <w:jc w:val="both"/>
        <w:rPr>
          <w:rFonts w:ascii="Verdana" w:hAnsi="Verdana" w:cs="Verdana"/>
          <w:b/>
          <w:bCs/>
          <w:sz w:val="20"/>
          <w:szCs w:val="20"/>
          <w:lang w:val="ro-RO"/>
        </w:rPr>
      </w:pPr>
    </w:p>
    <w:p>
      <w:pPr>
        <w:pStyle w:val="ListParagraph"/>
        <w:numPr>
          <w:ilvl w:val="0"/>
          <w:numId w:val="95"/>
        </w:numPr>
        <w:autoSpaceDE w:val="0"/>
        <w:autoSpaceDN w:val="0"/>
        <w:adjustRightInd w:val="0"/>
        <w:spacing w:after="240"/>
        <w:ind w:hanging="357"/>
        <w:jc w:val="both"/>
        <w:rPr>
          <w:rFonts w:ascii="Verdana" w:hAnsi="Verdana" w:cs="Verdana"/>
          <w:sz w:val="20"/>
          <w:szCs w:val="20"/>
        </w:rPr>
      </w:pPr>
      <w:r>
        <w:rPr>
          <w:rFonts w:ascii="Verdana" w:hAnsi="Verdana" w:cs="Verdana"/>
          <w:sz w:val="20"/>
          <w:szCs w:val="20"/>
        </w:rPr>
        <w:t>Serviciul de salubrizare se realizează prin intermediul unei infrastructuri tehnico-edilitare specifice care, împreună cu mijloacele de colectare și transport al deșeurilor, formează sistemul public de salubrizare, denumit în continuare sistem de salubrizare.</w:t>
      </w:r>
    </w:p>
    <w:p>
      <w:pPr>
        <w:pStyle w:val="ListParagraph"/>
        <w:numPr>
          <w:ilvl w:val="0"/>
          <w:numId w:val="95"/>
        </w:numPr>
        <w:autoSpaceDE w:val="0"/>
        <w:autoSpaceDN w:val="0"/>
        <w:adjustRightInd w:val="0"/>
        <w:spacing w:after="240"/>
        <w:ind w:hanging="357"/>
        <w:jc w:val="both"/>
        <w:rPr>
          <w:rFonts w:ascii="Verdana" w:hAnsi="Verdana" w:cs="Verdana"/>
          <w:sz w:val="20"/>
          <w:szCs w:val="20"/>
        </w:rPr>
      </w:pPr>
      <w:r>
        <w:rPr>
          <w:rFonts w:ascii="Verdana" w:hAnsi="Verdana" w:cs="Verdana"/>
          <w:sz w:val="20"/>
          <w:szCs w:val="20"/>
        </w:rPr>
        <w:t>Sistemul de salubrizare este alcătuit dintr-un ansamblu tehnologic și funcțional, care cuprinde construcții, instalații și echipamente specifice destinate prestării serviciului de salubrizare, precum:</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puncte de colectare separată a deșeurilor;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stații de producere compost;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stații de transfer;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stații de sortare;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baze de garare și întreținere a autovehiculelor specifice serviciului de salubrizare;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depozite de deșeuri;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 xml:space="preserve">incineratoare; </w:t>
      </w:r>
    </w:p>
    <w:p>
      <w:pPr>
        <w:pStyle w:val="ListParagraph"/>
        <w:numPr>
          <w:ilvl w:val="0"/>
          <w:numId w:val="93"/>
        </w:numPr>
        <w:autoSpaceDE w:val="0"/>
        <w:autoSpaceDN w:val="0"/>
        <w:adjustRightInd w:val="0"/>
        <w:spacing w:after="240"/>
        <w:ind w:hanging="357"/>
        <w:rPr>
          <w:rFonts w:ascii="Verdana" w:hAnsi="Verdana" w:cs="Verdana"/>
          <w:sz w:val="20"/>
          <w:szCs w:val="20"/>
        </w:rPr>
      </w:pPr>
      <w:r>
        <w:rPr>
          <w:rFonts w:ascii="Verdana" w:hAnsi="Verdana" w:cs="Verdana"/>
          <w:sz w:val="20"/>
          <w:szCs w:val="20"/>
        </w:rPr>
        <w:t>stații de tratare mecano-biologice.</w:t>
      </w:r>
    </w:p>
    <w:p>
      <w:pPr>
        <w:pStyle w:val="ListParagraph"/>
        <w:numPr>
          <w:ilvl w:val="0"/>
          <w:numId w:val="95"/>
        </w:numPr>
        <w:autoSpaceDE w:val="0"/>
        <w:autoSpaceDN w:val="0"/>
        <w:adjustRightInd w:val="0"/>
        <w:spacing w:after="240"/>
        <w:ind w:hanging="357"/>
        <w:jc w:val="both"/>
        <w:rPr>
          <w:rFonts w:ascii="Verdana" w:hAnsi="Verdana" w:cs="Verdana"/>
          <w:sz w:val="20"/>
          <w:szCs w:val="20"/>
        </w:rPr>
      </w:pPr>
      <w:r>
        <w:rPr>
          <w:rFonts w:ascii="Verdana" w:hAnsi="Verdana" w:cs="Verdana"/>
          <w:sz w:val="20"/>
          <w:szCs w:val="20"/>
        </w:rPr>
        <w:t>Detalii privind sistemul de salubrizare implementat la nivelul județului Caraș Severin sunt prezentate în Anexa nr. 2.</w:t>
      </w:r>
    </w:p>
    <w:p>
      <w:pPr>
        <w:numPr>
          <w:ilvl w:val="0"/>
          <w:numId w:val="33"/>
        </w:numPr>
        <w:autoSpaceDE w:val="0"/>
        <w:autoSpaceDN w:val="0"/>
        <w:adjustRightInd w:val="0"/>
        <w:spacing w:after="240" w:line="276" w:lineRule="auto"/>
        <w:ind w:hanging="357"/>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Serviciul de salubrizare trebuie săîndeplinească, la nivelul utilizatorilor, indicatorii de performanță aprobați de către ADI INTERCOMDEȘEURI CARAȘ SEVERIN, din prezentul regulament.</w:t>
      </w:r>
    </w:p>
    <w:p>
      <w:pPr>
        <w:spacing w:after="240" w:line="276" w:lineRule="auto"/>
        <w:rPr>
          <w:lang w:val="ro-RO"/>
        </w:rPr>
      </w:pPr>
      <w:bookmarkStart w:id="7" w:name="_Toc180478978"/>
      <w:bookmarkStart w:id="8" w:name="_Toc180479027"/>
    </w:p>
    <w:p>
      <w:pPr>
        <w:pStyle w:val="Heading2"/>
        <w:spacing w:before="0" w:after="240" w:line="276" w:lineRule="auto"/>
        <w:rPr>
          <w:rFonts w:ascii="Verdana" w:hAnsi="Verdana" w:cs="Verdana"/>
          <w:i w:val="0"/>
          <w:iCs w:val="0"/>
          <w:sz w:val="24"/>
          <w:szCs w:val="24"/>
          <w:lang w:val="ro-RO"/>
        </w:rPr>
      </w:pPr>
      <w:bookmarkStart w:id="9" w:name="_Toc340647367"/>
      <w:bookmarkStart w:id="10" w:name="_Toc41469105"/>
      <w:r>
        <w:rPr>
          <w:rFonts w:ascii="Verdana" w:hAnsi="Verdana" w:cs="Verdana"/>
          <w:i w:val="0"/>
          <w:iCs w:val="0"/>
          <w:sz w:val="24"/>
          <w:szCs w:val="24"/>
          <w:lang w:val="ro-RO"/>
        </w:rPr>
        <w:lastRenderedPageBreak/>
        <w:t>SECȚIUNEA 2</w:t>
      </w:r>
      <w:r>
        <w:rPr>
          <w:rFonts w:ascii="Verdana" w:hAnsi="Verdana" w:cs="Verdana"/>
          <w:i w:val="0"/>
          <w:iCs w:val="0"/>
          <w:sz w:val="24"/>
          <w:szCs w:val="24"/>
          <w:lang w:val="ro-RO"/>
        </w:rPr>
        <w:tab/>
        <w:t>Accesul la serviciul de salubrizare</w:t>
      </w:r>
      <w:bookmarkEnd w:id="7"/>
      <w:bookmarkEnd w:id="8"/>
      <w:bookmarkEnd w:id="9"/>
      <w:bookmarkEnd w:id="10"/>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6"/>
        </w:numPr>
        <w:autoSpaceDE w:val="0"/>
        <w:autoSpaceDN w:val="0"/>
        <w:adjustRightInd w:val="0"/>
        <w:spacing w:after="240"/>
        <w:jc w:val="both"/>
        <w:rPr>
          <w:rFonts w:ascii="Verdana" w:hAnsi="Verdana" w:cs="Verdana"/>
          <w:sz w:val="20"/>
          <w:szCs w:val="20"/>
        </w:rPr>
      </w:pPr>
      <w:r>
        <w:rPr>
          <w:rFonts w:ascii="Verdana" w:hAnsi="Verdana" w:cs="Verdana"/>
          <w:sz w:val="20"/>
          <w:szCs w:val="20"/>
        </w:rPr>
        <w:t>Toți utilizatorii, persoane fizice sau juridice, de pe teritoriul județului Caraș Severin, unde este organizat serviciul de salubrizare, au garantat dreptul de a beneficia de acest serviciu.</w:t>
      </w:r>
    </w:p>
    <w:p>
      <w:pPr>
        <w:pStyle w:val="ListParagraph"/>
        <w:numPr>
          <w:ilvl w:val="0"/>
          <w:numId w:val="96"/>
        </w:numPr>
        <w:autoSpaceDE w:val="0"/>
        <w:autoSpaceDN w:val="0"/>
        <w:adjustRightInd w:val="0"/>
        <w:spacing w:after="240"/>
        <w:jc w:val="both"/>
        <w:rPr>
          <w:rFonts w:ascii="Verdana" w:hAnsi="Verdana" w:cs="Verdana"/>
          <w:sz w:val="20"/>
          <w:szCs w:val="20"/>
        </w:rPr>
      </w:pPr>
      <w:r>
        <w:rPr>
          <w:rFonts w:ascii="Verdana" w:hAnsi="Verdana" w:cs="Verdana"/>
          <w:sz w:val="20"/>
          <w:szCs w:val="20"/>
        </w:rPr>
        <w:t>Principalele categorii de utilizatori sunt:</w:t>
      </w:r>
    </w:p>
    <w:p>
      <w:pPr>
        <w:numPr>
          <w:ilvl w:val="0"/>
          <w:numId w:val="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casnici: persoane fizice sau asociații de proprietari/locatari;</w:t>
      </w:r>
    </w:p>
    <w:p>
      <w:pPr>
        <w:numPr>
          <w:ilvl w:val="0"/>
          <w:numId w:val="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non-casnici: operatori economici și instituții publice.</w:t>
      </w:r>
    </w:p>
    <w:p>
      <w:pPr>
        <w:pStyle w:val="ListParagraph"/>
        <w:numPr>
          <w:ilvl w:val="0"/>
          <w:numId w:val="96"/>
        </w:numPr>
        <w:autoSpaceDE w:val="0"/>
        <w:autoSpaceDN w:val="0"/>
        <w:adjustRightInd w:val="0"/>
        <w:spacing w:after="240"/>
        <w:jc w:val="both"/>
        <w:rPr>
          <w:rFonts w:ascii="Verdana" w:hAnsi="Verdana" w:cs="Verdana"/>
          <w:sz w:val="20"/>
          <w:szCs w:val="20"/>
        </w:rPr>
      </w:pPr>
      <w:r>
        <w:rPr>
          <w:rFonts w:ascii="Verdana" w:hAnsi="Verdana" w:cs="Verdana"/>
          <w:sz w:val="20"/>
          <w:szCs w:val="20"/>
        </w:rPr>
        <w:t>Utilizatorii au drept de acces, fără discriminare, la informatiile publice privind serviciul de salubrizare, la indicatorii de performanță ai serviciului, la structura tarifară și la clauzele contractuale.</w:t>
      </w:r>
    </w:p>
    <w:p>
      <w:pPr>
        <w:pStyle w:val="ListParagraph"/>
        <w:numPr>
          <w:ilvl w:val="0"/>
          <w:numId w:val="96"/>
        </w:numPr>
        <w:autoSpaceDE w:val="0"/>
        <w:autoSpaceDN w:val="0"/>
        <w:adjustRightInd w:val="0"/>
        <w:spacing w:after="240"/>
        <w:jc w:val="both"/>
        <w:rPr>
          <w:rFonts w:ascii="Verdana" w:hAnsi="Verdana" w:cs="Verdana"/>
          <w:sz w:val="20"/>
          <w:szCs w:val="20"/>
        </w:rPr>
      </w:pPr>
      <w:r>
        <w:rPr>
          <w:rFonts w:ascii="Verdana" w:hAnsi="Verdana" w:cs="Verdana"/>
          <w:sz w:val="20"/>
          <w:szCs w:val="20"/>
        </w:rPr>
        <w:t>Operatorii serviciului de salubrizare sunt obligați ca prin modul de prestare a serviciului să asigure protecția sănătății publice, utilizând numai mijloace și utilaje corespunzătoare cerințelor autorităților competente din domeniul sănătății publice și cel al protecției mediului.</w:t>
      </w:r>
    </w:p>
    <w:p>
      <w:pPr>
        <w:pStyle w:val="ListParagraph"/>
        <w:numPr>
          <w:ilvl w:val="0"/>
          <w:numId w:val="96"/>
        </w:numPr>
        <w:autoSpaceDE w:val="0"/>
        <w:autoSpaceDN w:val="0"/>
        <w:adjustRightInd w:val="0"/>
        <w:spacing w:after="240"/>
        <w:jc w:val="both"/>
        <w:rPr>
          <w:rFonts w:ascii="Verdana" w:hAnsi="Verdana" w:cs="Verdana"/>
          <w:sz w:val="20"/>
          <w:szCs w:val="20"/>
        </w:rPr>
      </w:pPr>
      <w:r>
        <w:rPr>
          <w:rFonts w:ascii="Verdana" w:hAnsi="Verdana" w:cs="Verdana"/>
          <w:sz w:val="20"/>
          <w:szCs w:val="20"/>
        </w:rPr>
        <w:t>Operatorii serviciului de salubrizare sunt obligați să asigure continuitatea serviciului conform programului aprobat de ADI INTERCOMDEȘEURI CARAȘ SEVERIN și autoritățile administrației publice locale, cu excepția cazurilor de forță majoră care vor fi menționate în contractele de delegare.</w:t>
      </w:r>
    </w:p>
    <w:p>
      <w:pPr>
        <w:autoSpaceDE w:val="0"/>
        <w:autoSpaceDN w:val="0"/>
        <w:adjustRightInd w:val="0"/>
        <w:spacing w:after="240" w:line="276" w:lineRule="auto"/>
        <w:jc w:val="both"/>
        <w:rPr>
          <w:rFonts w:ascii="Verdana" w:hAnsi="Verdana" w:cs="Verdana"/>
          <w:sz w:val="20"/>
          <w:szCs w:val="20"/>
          <w:lang w:val="ro-RO"/>
        </w:rPr>
      </w:pPr>
    </w:p>
    <w:p>
      <w:pPr>
        <w:pStyle w:val="Heading2"/>
        <w:spacing w:before="0" w:after="240" w:line="276" w:lineRule="auto"/>
        <w:rPr>
          <w:rFonts w:ascii="Verdana" w:hAnsi="Verdana" w:cs="Verdana"/>
          <w:i w:val="0"/>
          <w:iCs w:val="0"/>
          <w:sz w:val="24"/>
          <w:szCs w:val="24"/>
          <w:lang w:val="ro-RO"/>
        </w:rPr>
      </w:pPr>
      <w:bookmarkStart w:id="11" w:name="_Toc180478979"/>
      <w:bookmarkStart w:id="12" w:name="_Toc180479028"/>
      <w:bookmarkStart w:id="13" w:name="_Toc340647368"/>
      <w:bookmarkStart w:id="14" w:name="_Toc41469106"/>
      <w:r>
        <w:rPr>
          <w:rFonts w:ascii="Verdana" w:hAnsi="Verdana" w:cs="Verdana"/>
          <w:i w:val="0"/>
          <w:iCs w:val="0"/>
          <w:sz w:val="24"/>
          <w:szCs w:val="24"/>
          <w:lang w:val="ro-RO"/>
        </w:rPr>
        <w:t>SECȚIUNEA 3</w:t>
      </w:r>
      <w:r>
        <w:rPr>
          <w:rFonts w:ascii="Verdana" w:hAnsi="Verdana" w:cs="Verdana"/>
          <w:i w:val="0"/>
          <w:iCs w:val="0"/>
          <w:sz w:val="24"/>
          <w:szCs w:val="24"/>
          <w:lang w:val="ro-RO"/>
        </w:rPr>
        <w:tab/>
        <w:t>Documentația tehnic</w:t>
      </w:r>
      <w:bookmarkEnd w:id="11"/>
      <w:bookmarkEnd w:id="12"/>
      <w:bookmarkEnd w:id="13"/>
      <w:r>
        <w:rPr>
          <w:rFonts w:ascii="Verdana" w:hAnsi="Verdana" w:cs="Verdana"/>
          <w:i w:val="0"/>
          <w:iCs w:val="0"/>
          <w:sz w:val="24"/>
          <w:szCs w:val="24"/>
          <w:lang w:val="ro-RO"/>
        </w:rPr>
        <w:t>ă</w:t>
      </w:r>
      <w:bookmarkEnd w:id="14"/>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7"/>
        </w:numPr>
        <w:autoSpaceDE w:val="0"/>
        <w:autoSpaceDN w:val="0"/>
        <w:adjustRightInd w:val="0"/>
        <w:spacing w:after="240"/>
        <w:ind w:left="357" w:hanging="357"/>
        <w:jc w:val="both"/>
        <w:rPr>
          <w:rFonts w:ascii="Verdana" w:hAnsi="Verdana" w:cs="Verdana"/>
          <w:b/>
          <w:bCs/>
          <w:sz w:val="20"/>
          <w:szCs w:val="20"/>
        </w:rPr>
      </w:pPr>
      <w:r>
        <w:rPr>
          <w:rFonts w:ascii="Verdana" w:hAnsi="Verdana" w:cs="Verdana"/>
          <w:sz w:val="20"/>
          <w:szCs w:val="20"/>
        </w:rPr>
        <w:t>Prezentul regulament stabilește documentația tehnică minimă pentru toți operatorii care asigură serviciul de salubrizare.</w:t>
      </w:r>
    </w:p>
    <w:p>
      <w:pPr>
        <w:pStyle w:val="ListParagraph"/>
        <w:numPr>
          <w:ilvl w:val="0"/>
          <w:numId w:val="97"/>
        </w:numPr>
        <w:autoSpaceDE w:val="0"/>
        <w:autoSpaceDN w:val="0"/>
        <w:adjustRightInd w:val="0"/>
        <w:spacing w:after="240"/>
        <w:ind w:left="357" w:hanging="357"/>
        <w:jc w:val="both"/>
        <w:rPr>
          <w:rFonts w:ascii="Verdana" w:hAnsi="Verdana" w:cs="Verdana"/>
          <w:b/>
          <w:bCs/>
          <w:sz w:val="20"/>
          <w:szCs w:val="20"/>
        </w:rPr>
      </w:pPr>
      <w:r>
        <w:rPr>
          <w:rFonts w:ascii="Verdana" w:hAnsi="Verdana" w:cs="Verdana"/>
          <w:sz w:val="20"/>
          <w:szCs w:val="20"/>
        </w:rPr>
        <w:t>Regulamentul stabilește documentele necesare exploatării, precum și modul de întocmire, actualizare, păstrare și manipulare a acestor documente.</w:t>
      </w:r>
    </w:p>
    <w:p>
      <w:pPr>
        <w:pStyle w:val="ListParagraph"/>
        <w:numPr>
          <w:ilvl w:val="0"/>
          <w:numId w:val="97"/>
        </w:numPr>
        <w:autoSpaceDE w:val="0"/>
        <w:autoSpaceDN w:val="0"/>
        <w:adjustRightInd w:val="0"/>
        <w:spacing w:after="240"/>
        <w:ind w:left="357" w:hanging="357"/>
        <w:jc w:val="both"/>
        <w:rPr>
          <w:rFonts w:ascii="Verdana" w:hAnsi="Verdana" w:cs="Verdana"/>
          <w:b/>
          <w:bCs/>
          <w:sz w:val="20"/>
          <w:szCs w:val="20"/>
        </w:rPr>
      </w:pPr>
      <w:r>
        <w:rPr>
          <w:rFonts w:ascii="Verdana" w:hAnsi="Verdana" w:cs="Verdana"/>
          <w:sz w:val="20"/>
          <w:szCs w:val="20"/>
        </w:rPr>
        <w:t>Detalierea prevederilor prezentului regulament privind modul de întocmire, păstrare și reactualizare a evidenței tehnice se va face prin proceduri de exploatare specifice principalelor tipuri de instalații.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8"/>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Fiecare operator va avea și va actualiza, în funcție de specificul activității de salubrizare prestate și de fiecare situație în parte, următoarele documente: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actele de proprietate sau contractul prin care s-a făcut delegarea gestiunii;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planul cadastral și situația terenurilor din aria de deservire;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planurile generale cu amplasarea construcțiilor și instalațiilor aflate în exploatare, actualizate cu toate modificările sau completările;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planurile clădirilor sau construcțiilor speciale, având notate toate modificările sau completările la zi;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cărțile tehnice ale construcțiilor;</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documentația tehnică a utilajelor și instalațiilor și, după caz, autorizațiile de punere în funcțiune a acestora;</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procese-verbale de constatare în timpul execuției și planurile de execuție ale părților de lucrări sau ale lucrărilor ascunse;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proiectele de execuție a lucrărilor, cuprinzând memoriile tehnice, breviarele de calcul, devizele pe obiecte, devizul general, planurile și schemele instalațiilor și rețelelor etc.;</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documentele de recepție, preluare și terminare a lucrărilor cu:</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procese-verbale de măsurători cantitative de execuție;</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procese-verbale de verificări și probe, inclusiv probele de performanță și garanție, buletinele de verificări, analiză și încercări;</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procese-verbale de realizare a indicatorilor tehnico-economici;</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procese-verbale de punere în funcțiune;</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lista echipamentelor montate în instalații, cu caracteristicile tehnice;</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procesele-verbale de preluare ca mijloc fix, în care se consemnează rezolvarea neconformităților și a remedierilor;</w:t>
      </w:r>
    </w:p>
    <w:p>
      <w:pPr>
        <w:numPr>
          <w:ilvl w:val="0"/>
          <w:numId w:val="3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documentele de aprobare a recepțiilor și de predare în exploatare;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schemele de funcționare a instalațiilor, planurile de ansamblu, desenele de detaliu actualizate conform situației de pe teren, planurile de ansamblu și de detaliu ale fiecărui agregat și/sau ale fiecărei instalații, inclusiv planurile și cataloagele pieselor de schimb;</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instrucțiunile producătorilor/furnizorilor de echipament sau ale organizației de montaj privind manipularea, exploatarea, întreținerea și repararea echipamentelor și instalațiilor, precum și cărțile/fișele tehnice ale echipamentelor principale ale instalațiilor;</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normele generale și specifice de protecție a muncii aferente fiecărui echipament, fiecărei instalații sau fiecărei activități;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planurile de dotare și amplasare cu mijloace de stingere a incendiilor, planul de apărare a obiectivului în caz de incendiu, calamități sau alte situații excepționale;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regulamentul de organizare și funcționare și atribuțiile de serviciu pentru întreg personalul;</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avizele și autorizațiile legale de funcționare pentru clădiri, laboratoare, instalații de măsură, inclusiv cele de protecție a mediului, obținute în condițiile legii;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inventarul instalațiilor și liniilor electrice conform instrucțiunilor în vigoare;</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instrucțiuni privind accesul în incintă și la instalații;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documentele referitoare la instruirea, examinarea și autorizarea personalului;</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registre de control, de sesizări și reclamații, de dare și retragere din exploatare, de admitere la lucru etc.;</w:t>
      </w:r>
    </w:p>
    <w:p>
      <w:pPr>
        <w:numPr>
          <w:ilvl w:val="0"/>
          <w:numId w:val="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bilanțul de proiect și rezultatele bilanțurilor periodice întocmite conform prevederilor legale, inclusiv bilanțul de mediu.</w:t>
      </w:r>
    </w:p>
    <w:p>
      <w:pPr>
        <w:pStyle w:val="ListParagraph"/>
        <w:numPr>
          <w:ilvl w:val="0"/>
          <w:numId w:val="98"/>
        </w:numPr>
        <w:autoSpaceDE w:val="0"/>
        <w:autoSpaceDN w:val="0"/>
        <w:adjustRightInd w:val="0"/>
        <w:spacing w:after="240"/>
        <w:jc w:val="both"/>
        <w:rPr>
          <w:rFonts w:ascii="Verdana" w:hAnsi="Verdana" w:cs="Verdana"/>
          <w:sz w:val="20"/>
          <w:szCs w:val="20"/>
        </w:rPr>
      </w:pPr>
      <w:r>
        <w:rPr>
          <w:rFonts w:ascii="Verdana" w:hAnsi="Verdana" w:cs="Verdana"/>
          <w:sz w:val="20"/>
          <w:szCs w:val="20"/>
        </w:rPr>
        <w:t>Documentațiile referitoare la construcții energetice se vor întocmi, completa și păstra conform normelor legale referitoare la "Cartea tehnică a construcției".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9"/>
        </w:numPr>
        <w:autoSpaceDE w:val="0"/>
        <w:autoSpaceDN w:val="0"/>
        <w:adjustRightInd w:val="0"/>
        <w:spacing w:after="240"/>
        <w:ind w:left="357" w:hanging="357"/>
        <w:jc w:val="both"/>
        <w:rPr>
          <w:rFonts w:ascii="Verdana" w:hAnsi="Verdana" w:cs="Verdana"/>
          <w:sz w:val="20"/>
          <w:szCs w:val="20"/>
        </w:rPr>
      </w:pPr>
      <w:r>
        <w:rPr>
          <w:rFonts w:ascii="Verdana" w:hAnsi="Verdana" w:cs="Verdana"/>
          <w:sz w:val="20"/>
          <w:szCs w:val="20"/>
        </w:rPr>
        <w:t>Documentația de bază a lucrărilor și datele generale necesare exploatării, întocmite de operatorii economici specializați în proiectare, se predau titularului de investiție odată cu proiectul lucrării respective.</w:t>
      </w:r>
    </w:p>
    <w:p>
      <w:pPr>
        <w:pStyle w:val="ListParagraph"/>
        <w:numPr>
          <w:ilvl w:val="0"/>
          <w:numId w:val="99"/>
        </w:numPr>
        <w:autoSpaceDE w:val="0"/>
        <w:autoSpaceDN w:val="0"/>
        <w:adjustRightInd w:val="0"/>
        <w:spacing w:after="240"/>
        <w:ind w:left="357" w:hanging="357"/>
        <w:jc w:val="both"/>
        <w:rPr>
          <w:rFonts w:ascii="Verdana" w:hAnsi="Verdana" w:cs="Verdana"/>
          <w:b/>
          <w:bCs/>
          <w:color w:val="0000FF"/>
          <w:sz w:val="20"/>
          <w:szCs w:val="20"/>
        </w:rPr>
      </w:pPr>
      <w:r>
        <w:rPr>
          <w:rFonts w:ascii="Verdana" w:hAnsi="Verdana" w:cs="Verdana"/>
          <w:sz w:val="20"/>
          <w:szCs w:val="20"/>
        </w:rPr>
        <w:t>Operatorii economici care au întocmit proiectele au obligația de a corecta toate planurile de execuție, în toate exemplarele în care s-au operat modificări pe parcursul execuției si, în final, săînlocuiască aceste planuri cu altele noi, originale, actualizate conform situației reale de pe teren, și să predea proiectul, inclusiv în format optoelectronic, împreună cu instrucțiunile necesare exploatării, întreținerii și reparării instalațiilor proiectate.</w:t>
      </w:r>
    </w:p>
    <w:p>
      <w:pPr>
        <w:pStyle w:val="ListParagraph"/>
        <w:numPr>
          <w:ilvl w:val="0"/>
          <w:numId w:val="99"/>
        </w:numPr>
        <w:autoSpaceDE w:val="0"/>
        <w:autoSpaceDN w:val="0"/>
        <w:adjustRightInd w:val="0"/>
        <w:spacing w:after="240"/>
        <w:ind w:left="357" w:hanging="357"/>
        <w:jc w:val="both"/>
        <w:rPr>
          <w:rFonts w:ascii="Verdana" w:hAnsi="Verdana" w:cs="Verdana"/>
          <w:b/>
          <w:bCs/>
          <w:color w:val="0000FF"/>
          <w:sz w:val="20"/>
          <w:szCs w:val="20"/>
        </w:rPr>
      </w:pPr>
      <w:r>
        <w:rPr>
          <w:rFonts w:ascii="Verdana" w:hAnsi="Verdana" w:cs="Verdana"/>
          <w:sz w:val="20"/>
          <w:szCs w:val="20"/>
        </w:rPr>
        <w:t>Organizațiile de execuție și/sau montaj au obligația ca, odată cu predarea lucrărilor, să predea și schemele, planurile de situații și de execuție modificate conform situației de pe teren.Încazul în care nu s-au făcut modificări față de planurile inițiale, se va preda câte un exemplar din aceste planuri, având pe ele confirmarea că nu s-au făcut modificări în timpul execuției.</w:t>
      </w:r>
    </w:p>
    <w:p>
      <w:pPr>
        <w:pStyle w:val="ListParagraph"/>
        <w:numPr>
          <w:ilvl w:val="0"/>
          <w:numId w:val="99"/>
        </w:numPr>
        <w:autoSpaceDE w:val="0"/>
        <w:autoSpaceDN w:val="0"/>
        <w:adjustRightInd w:val="0"/>
        <w:spacing w:after="240"/>
        <w:ind w:left="357" w:hanging="357"/>
        <w:jc w:val="both"/>
        <w:rPr>
          <w:rFonts w:ascii="Verdana" w:hAnsi="Verdana" w:cs="Verdana"/>
          <w:color w:val="0000FF"/>
          <w:sz w:val="20"/>
          <w:szCs w:val="20"/>
        </w:rPr>
      </w:pPr>
      <w:r>
        <w:rPr>
          <w:rFonts w:ascii="Verdana" w:hAnsi="Verdana" w:cs="Verdana"/>
          <w:sz w:val="20"/>
          <w:szCs w:val="20"/>
        </w:rPr>
        <w:t>Întimpul execuției lucrărilor se interzic abaterile de la documentația întocmită de proiectant, fără avizul acestuia.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100"/>
        </w:numPr>
        <w:autoSpaceDE w:val="0"/>
        <w:autoSpaceDN w:val="0"/>
        <w:adjustRightInd w:val="0"/>
        <w:spacing w:after="240"/>
        <w:ind w:left="357" w:hanging="357"/>
        <w:jc w:val="both"/>
        <w:rPr>
          <w:rFonts w:ascii="Verdana" w:hAnsi="Verdana" w:cs="Verdana"/>
          <w:b/>
          <w:bCs/>
          <w:sz w:val="20"/>
          <w:szCs w:val="20"/>
        </w:rPr>
      </w:pPr>
      <w:r>
        <w:rPr>
          <w:rFonts w:ascii="Verdana" w:hAnsi="Verdana" w:cs="Verdana"/>
          <w:sz w:val="20"/>
          <w:szCs w:val="20"/>
        </w:rPr>
        <w:t>Consiliul județean Caraș Severin și unitățile administrativ-teritoriale deținători ai instalațiilor care fac parte din sistemul public de salubrizare, precum și operatorii care primesc în gestiune delegată serviciul de salubrizare, în totalitate sau numai unele activități componente ale acestuia, au obligația să-și organizeze o arhivă tehnică pentru păstrarea documentelor de bază prevăzute la art. 9 alin. (1), organizată astfel încât să poată fi găsit orice document cu ușurință.</w:t>
      </w:r>
    </w:p>
    <w:p>
      <w:pPr>
        <w:pStyle w:val="ListParagraph"/>
        <w:numPr>
          <w:ilvl w:val="0"/>
          <w:numId w:val="100"/>
        </w:numPr>
        <w:autoSpaceDE w:val="0"/>
        <w:autoSpaceDN w:val="0"/>
        <w:adjustRightInd w:val="0"/>
        <w:spacing w:after="240"/>
        <w:ind w:left="357" w:hanging="357"/>
        <w:jc w:val="both"/>
        <w:rPr>
          <w:rFonts w:ascii="Verdana" w:hAnsi="Verdana" w:cs="Verdana"/>
          <w:b/>
          <w:bCs/>
          <w:sz w:val="20"/>
          <w:szCs w:val="20"/>
        </w:rPr>
      </w:pPr>
      <w:r>
        <w:rPr>
          <w:rFonts w:ascii="Verdana" w:hAnsi="Verdana" w:cs="Verdana"/>
          <w:sz w:val="20"/>
          <w:szCs w:val="20"/>
        </w:rPr>
        <w:lastRenderedPageBreak/>
        <w:t>La încheierea activității, operatorii vor preda autorităților publice locale, respectiv ADI INTERCOMDEȘEURI CARAȘ SEVERIN, pe baza de proces-verbal, întreaga arhivă pe care și-au constituit-o, fiind interzisă păstrarea de către acesta a vreunui document original sau copie.</w:t>
      </w:r>
    </w:p>
    <w:p>
      <w:pPr>
        <w:pStyle w:val="ListParagraph"/>
        <w:numPr>
          <w:ilvl w:val="0"/>
          <w:numId w:val="100"/>
        </w:numPr>
        <w:autoSpaceDE w:val="0"/>
        <w:autoSpaceDN w:val="0"/>
        <w:adjustRightInd w:val="0"/>
        <w:spacing w:after="240"/>
        <w:ind w:left="357" w:hanging="357"/>
        <w:jc w:val="both"/>
        <w:rPr>
          <w:rFonts w:ascii="Verdana" w:hAnsi="Verdana" w:cs="Verdana"/>
          <w:sz w:val="20"/>
          <w:szCs w:val="20"/>
        </w:rPr>
      </w:pPr>
      <w:r>
        <w:rPr>
          <w:rFonts w:ascii="Verdana" w:hAnsi="Verdana" w:cs="Verdana"/>
          <w:sz w:val="20"/>
          <w:szCs w:val="20"/>
        </w:rPr>
        <w:t>Fiecare document va avea anexat un borderou în care se vor menționa:</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data întocmirii documentului;</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numărul de exemplare originale;</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calitatea celui care a întocmit documentul;</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numărul de copii executate;</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necesitatea copierii, numele, prenumele și calitatea celui care a primit copii ale documentului, numărul de copii primite și calitatea celui care a aprobat copierea;</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data fiecărei revizii sau actualizări;</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calitatea celui care a întocmit revizia/actualizarea și calitatea celui care a aprobat;</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data de la care documentul revizuit/actualizat a intrat în vigoare;</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lista persoanelor cărora li s-au distribuit copii de pe documentul revizuit/actualizat;</w:t>
      </w:r>
    </w:p>
    <w:p>
      <w:pPr>
        <w:numPr>
          <w:ilvl w:val="0"/>
          <w:numId w:val="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lista persoanelor care au restituit la arhivă documentul primit anterior revizuirii/modificării.</w:t>
      </w:r>
    </w:p>
    <w:p>
      <w:pPr>
        <w:pStyle w:val="Heading2"/>
        <w:spacing w:before="0" w:after="240" w:line="276" w:lineRule="auto"/>
        <w:rPr>
          <w:rFonts w:ascii="Verdana" w:hAnsi="Verdana" w:cs="Verdana"/>
          <w:i w:val="0"/>
          <w:iCs w:val="0"/>
          <w:sz w:val="24"/>
          <w:szCs w:val="24"/>
          <w:lang w:val="ro-RO"/>
        </w:rPr>
      </w:pPr>
      <w:bookmarkStart w:id="15" w:name="_Toc180478980"/>
      <w:bookmarkStart w:id="16" w:name="_Toc180479029"/>
      <w:bookmarkStart w:id="17" w:name="_Toc340647369"/>
    </w:p>
    <w:p>
      <w:pPr>
        <w:pStyle w:val="Heading2"/>
        <w:spacing w:before="0" w:after="240" w:line="276" w:lineRule="auto"/>
        <w:rPr>
          <w:rFonts w:ascii="Verdana" w:hAnsi="Verdana" w:cs="Verdana"/>
          <w:i w:val="0"/>
          <w:iCs w:val="0"/>
          <w:sz w:val="24"/>
          <w:szCs w:val="24"/>
          <w:lang w:val="ro-RO"/>
        </w:rPr>
      </w:pPr>
      <w:bookmarkStart w:id="18" w:name="_Toc41469107"/>
      <w:r>
        <w:rPr>
          <w:rFonts w:ascii="Verdana" w:hAnsi="Verdana" w:cs="Verdana"/>
          <w:i w:val="0"/>
          <w:iCs w:val="0"/>
          <w:sz w:val="24"/>
          <w:szCs w:val="24"/>
          <w:lang w:val="ro-RO"/>
        </w:rPr>
        <w:t>SECȚIUNEA 4</w:t>
      </w:r>
      <w:r>
        <w:rPr>
          <w:rFonts w:ascii="Verdana" w:hAnsi="Verdana" w:cs="Verdana"/>
          <w:i w:val="0"/>
          <w:iCs w:val="0"/>
          <w:sz w:val="24"/>
          <w:szCs w:val="24"/>
          <w:lang w:val="ro-RO"/>
        </w:rPr>
        <w:tab/>
        <w:t>Îndatoririle personalului operativ</w:t>
      </w:r>
      <w:bookmarkEnd w:id="15"/>
      <w:bookmarkEnd w:id="16"/>
      <w:bookmarkEnd w:id="17"/>
      <w:bookmarkEnd w:id="18"/>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101"/>
        </w:numPr>
        <w:autoSpaceDE w:val="0"/>
        <w:autoSpaceDN w:val="0"/>
        <w:adjustRightInd w:val="0"/>
        <w:spacing w:after="240"/>
        <w:jc w:val="both"/>
        <w:rPr>
          <w:rFonts w:ascii="Verdana" w:hAnsi="Verdana" w:cs="Verdana"/>
          <w:b/>
          <w:bCs/>
          <w:sz w:val="20"/>
          <w:szCs w:val="20"/>
        </w:rPr>
      </w:pPr>
      <w:r>
        <w:rPr>
          <w:rFonts w:ascii="Verdana" w:hAnsi="Verdana" w:cs="Verdana"/>
          <w:sz w:val="20"/>
          <w:szCs w:val="20"/>
        </w:rPr>
        <w:t>Personalul de deservire operativă se compune din toți salariații care deservesc construcțiile, instalațiile și echipamentele specifice destinate prestării serviciului de salubrizare având ca sarcină principală de serviciu supravegherea sau asigurarea funcționării în mod nemijlocit la un echipament, într-o instalație sau într-un ansamblu de instalații.</w:t>
      </w:r>
    </w:p>
    <w:p>
      <w:pPr>
        <w:pStyle w:val="ListParagraph"/>
        <w:numPr>
          <w:ilvl w:val="0"/>
          <w:numId w:val="101"/>
        </w:numPr>
        <w:autoSpaceDE w:val="0"/>
        <w:autoSpaceDN w:val="0"/>
        <w:adjustRightInd w:val="0"/>
        <w:spacing w:after="240"/>
        <w:jc w:val="both"/>
        <w:rPr>
          <w:rFonts w:ascii="Verdana" w:hAnsi="Verdana" w:cs="Verdana"/>
          <w:sz w:val="20"/>
          <w:szCs w:val="20"/>
        </w:rPr>
      </w:pPr>
      <w:r>
        <w:rPr>
          <w:rFonts w:ascii="Verdana" w:hAnsi="Verdana" w:cs="Verdana"/>
          <w:sz w:val="20"/>
          <w:szCs w:val="20"/>
        </w:rPr>
        <w:t>Subordonarea pe linie operativă și tehnico-administrativă, precum și obligațiile, drepturile și responsabilitățile personalului de deservire operativă se trec în fișa postului și în procedurile operaționale.</w:t>
      </w:r>
    </w:p>
    <w:p>
      <w:pPr>
        <w:pStyle w:val="ListParagraph"/>
        <w:numPr>
          <w:ilvl w:val="0"/>
          <w:numId w:val="101"/>
        </w:numPr>
        <w:autoSpaceDE w:val="0"/>
        <w:autoSpaceDN w:val="0"/>
        <w:adjustRightInd w:val="0"/>
        <w:spacing w:after="240"/>
        <w:jc w:val="both"/>
        <w:rPr>
          <w:rFonts w:ascii="Verdana" w:hAnsi="Verdana" w:cs="Verdana"/>
          <w:sz w:val="20"/>
          <w:szCs w:val="20"/>
        </w:rPr>
      </w:pPr>
      <w:r>
        <w:rPr>
          <w:rFonts w:ascii="Verdana" w:hAnsi="Verdana" w:cs="Verdana"/>
          <w:sz w:val="20"/>
          <w:szCs w:val="20"/>
        </w:rPr>
        <w:t>Locurile de muncă în care este necesară desfășurarea activității se stabilesc de operator în procedurile proprii în funcție de:</w:t>
      </w:r>
    </w:p>
    <w:p>
      <w:pPr>
        <w:numPr>
          <w:ilvl w:val="0"/>
          <w:numId w:val="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gradul de periculozitate a instalațiilor și a procesului tehnologic;</w:t>
      </w:r>
    </w:p>
    <w:p>
      <w:pPr>
        <w:numPr>
          <w:ilvl w:val="0"/>
          <w:numId w:val="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gradul de automatizare a instalațiilor;</w:t>
      </w:r>
    </w:p>
    <w:p>
      <w:pPr>
        <w:numPr>
          <w:ilvl w:val="0"/>
          <w:numId w:val="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gradul de siguranță necesar în asigurarea serviciului;</w:t>
      </w:r>
    </w:p>
    <w:p>
      <w:pPr>
        <w:numPr>
          <w:ilvl w:val="0"/>
          <w:numId w:val="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necesitatea supravegherii instalațiilor și procesului tehnologic.</w:t>
      </w:r>
    </w:p>
    <w:p>
      <w:pPr>
        <w:autoSpaceDE w:val="0"/>
        <w:autoSpaceDN w:val="0"/>
        <w:adjustRightInd w:val="0"/>
        <w:spacing w:after="240" w:line="276" w:lineRule="auto"/>
        <w:ind w:left="717"/>
        <w:jc w:val="both"/>
        <w:rPr>
          <w:rFonts w:ascii="Verdana" w:hAnsi="Verdana" w:cs="Verdana"/>
          <w:sz w:val="20"/>
          <w:szCs w:val="20"/>
          <w:lang w:val="ro-RO"/>
        </w:rPr>
      </w:pPr>
    </w:p>
    <w:p>
      <w:pPr>
        <w:autoSpaceDE w:val="0"/>
        <w:autoSpaceDN w:val="0"/>
        <w:adjustRightInd w:val="0"/>
        <w:spacing w:after="240" w:line="276" w:lineRule="auto"/>
        <w:ind w:left="717"/>
        <w:jc w:val="both"/>
        <w:rPr>
          <w:rFonts w:ascii="Verdana" w:hAnsi="Verdana" w:cs="Verdana"/>
          <w:sz w:val="20"/>
          <w:szCs w:val="20"/>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Întimpul prestării serviciului, personalul trebuie să asigure funcționarea instalațiilor, în conformitate cu regulamentele de exploatare, instrucțiunile/procedurile tehnice interne,graficele/diagramele de lucru și dispozițiile personalului ierarhic superior pe linie operativă sau tehnico-administrativă.</w:t>
      </w:r>
    </w:p>
    <w:p>
      <w:pPr>
        <w:autoSpaceDE w:val="0"/>
        <w:autoSpaceDN w:val="0"/>
        <w:adjustRightInd w:val="0"/>
        <w:spacing w:after="240" w:line="276" w:lineRule="auto"/>
        <w:jc w:val="both"/>
        <w:rPr>
          <w:rFonts w:ascii="Verdana" w:hAnsi="Verdana" w:cs="Verdana"/>
          <w:sz w:val="20"/>
          <w:szCs w:val="20"/>
          <w:lang w:val="ro-RO"/>
        </w:rPr>
      </w:pPr>
    </w:p>
    <w:p>
      <w:pPr>
        <w:autoSpaceDE w:val="0"/>
        <w:autoSpaceDN w:val="0"/>
        <w:adjustRightInd w:val="0"/>
        <w:spacing w:after="240" w:line="276" w:lineRule="auto"/>
        <w:jc w:val="both"/>
        <w:rPr>
          <w:rFonts w:ascii="Arial" w:hAnsi="Arial" w:cs="Arial"/>
          <w:sz w:val="22"/>
          <w:szCs w:val="22"/>
          <w:lang w:val="ro-RO"/>
        </w:rPr>
        <w:sectPr>
          <w:pgSz w:w="11909" w:h="16834" w:code="9"/>
          <w:pgMar w:top="1440" w:right="1440" w:bottom="1440" w:left="1440" w:header="709" w:footer="709" w:gutter="0"/>
          <w:cols w:space="708"/>
          <w:docGrid w:linePitch="360"/>
        </w:sectPr>
      </w:pPr>
    </w:p>
    <w:p>
      <w:pPr>
        <w:autoSpaceDE w:val="0"/>
        <w:autoSpaceDN w:val="0"/>
        <w:adjustRightInd w:val="0"/>
        <w:spacing w:after="240" w:line="276" w:lineRule="auto"/>
        <w:jc w:val="both"/>
        <w:rPr>
          <w:rFonts w:ascii="Arial" w:hAnsi="Arial" w:cs="Arial"/>
          <w:sz w:val="22"/>
          <w:szCs w:val="22"/>
          <w:lang w:val="ro-RO"/>
        </w:rPr>
      </w:pPr>
    </w:p>
    <w:p>
      <w:pPr>
        <w:pStyle w:val="StyleHeading1Verdana14ptCenteredBefore0ptAfter"/>
        <w:spacing w:after="240" w:line="276" w:lineRule="auto"/>
        <w:rPr>
          <w:lang w:val="ro-RO"/>
        </w:rPr>
      </w:pPr>
      <w:bookmarkStart w:id="19" w:name="_Toc180478981"/>
      <w:bookmarkStart w:id="20" w:name="_Toc180479030"/>
      <w:bookmarkStart w:id="21" w:name="_Toc41469108"/>
      <w:r>
        <w:rPr>
          <w:lang w:val="ro-RO"/>
        </w:rPr>
        <w:t>CAPITOLUL II</w:t>
      </w:r>
      <w:r>
        <w:rPr>
          <w:lang w:val="ro-RO"/>
        </w:rPr>
        <w:tab/>
        <w:t>ASIGURAREA SERVICIULUI DE SALUBRIZAREȘICONDIȚII DE FUNCȚIONARE</w:t>
      </w:r>
      <w:bookmarkEnd w:id="19"/>
      <w:bookmarkEnd w:id="20"/>
      <w:bookmarkEnd w:id="21"/>
    </w:p>
    <w:p>
      <w:pPr>
        <w:autoSpaceDE w:val="0"/>
        <w:autoSpaceDN w:val="0"/>
        <w:adjustRightInd w:val="0"/>
        <w:spacing w:after="240" w:line="276" w:lineRule="auto"/>
        <w:jc w:val="both"/>
        <w:rPr>
          <w:rFonts w:ascii="Arial" w:hAnsi="Arial" w:cs="Arial"/>
          <w:sz w:val="22"/>
          <w:szCs w:val="22"/>
          <w:lang w:val="ro-RO"/>
        </w:rPr>
      </w:pPr>
    </w:p>
    <w:p>
      <w:pPr>
        <w:pStyle w:val="Heading2"/>
        <w:spacing w:before="0" w:after="240" w:line="276" w:lineRule="auto"/>
        <w:ind w:left="2520" w:hanging="2520"/>
        <w:rPr>
          <w:rFonts w:ascii="Verdana" w:hAnsi="Verdana" w:cs="Verdana"/>
          <w:i w:val="0"/>
          <w:iCs w:val="0"/>
          <w:strike/>
          <w:sz w:val="22"/>
          <w:szCs w:val="22"/>
          <w:lang w:val="ro-RO"/>
        </w:rPr>
      </w:pPr>
      <w:bookmarkStart w:id="22" w:name="_Toc41469109"/>
      <w:bookmarkStart w:id="23" w:name="_Toc180478982"/>
      <w:bookmarkStart w:id="24" w:name="_Toc180479031"/>
      <w:bookmarkStart w:id="25" w:name="_Toc340647370"/>
      <w:r>
        <w:rPr>
          <w:rFonts w:ascii="Verdana" w:hAnsi="Verdana" w:cs="Verdana"/>
          <w:i w:val="0"/>
          <w:iCs w:val="0"/>
          <w:sz w:val="24"/>
          <w:szCs w:val="24"/>
          <w:lang w:val="ro-RO"/>
        </w:rPr>
        <w:t>SECȚIUNEA 1</w:t>
      </w:r>
      <w:r>
        <w:rPr>
          <w:rFonts w:ascii="Verdana" w:hAnsi="Verdana" w:cs="Verdana"/>
          <w:i w:val="0"/>
          <w:iCs w:val="0"/>
          <w:sz w:val="24"/>
          <w:szCs w:val="24"/>
          <w:lang w:val="ro-RO"/>
        </w:rPr>
        <w:tab/>
      </w:r>
      <w:r>
        <w:rPr>
          <w:rFonts w:ascii="Verdana" w:hAnsi="Verdana" w:cs="Verdana"/>
          <w:i w:val="0"/>
          <w:iCs w:val="0"/>
          <w:sz w:val="22"/>
          <w:szCs w:val="22"/>
          <w:lang w:val="ro-RO"/>
        </w:rPr>
        <w:t>C</w:t>
      </w:r>
      <w:r>
        <w:rPr>
          <w:rFonts w:ascii="Verdana" w:hAnsi="Verdana" w:cs="Verdana"/>
          <w:sz w:val="22"/>
          <w:szCs w:val="22"/>
          <w:lang w:val="ro-RO"/>
        </w:rPr>
        <w:t>olectarea separată și transportul separat al deșeurilor municipale și al deșeurilor similare provenind din activități comerciale din industrie și instituții, inclusiv fracții colectate separat</w:t>
      </w:r>
      <w:bookmarkEnd w:id="22"/>
      <w:bookmarkEnd w:id="23"/>
      <w:bookmarkEnd w:id="24"/>
      <w:bookmarkEnd w:id="25"/>
    </w:p>
    <w:p>
      <w:pPr>
        <w:rPr>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Următoarele categorii de deșeuri municipale vor fi colectate separat de pe teritoriul unităților administrativ–teritoriale din județul Caraș Severin și transportate la instalații de tratare, respectiv eliminare:</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menajere reciclabile pe 3 fracții (hârtie și carton, plastic și metal, sticlă)– transportate, direct sau prin intermediul stațiilor de transfer, la stația de sortare din cadrul CMID Lupac;</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menajere reziduale (colectate în amestec cu biodeșeuri – transportate (acolo unde este cazul prin intermediul stațiilor de transfer) la instalația de tratare mecano-biologică din cadrul CMID Lupac;</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reciclabile similarede la operatorii economicipe 3 fracții (hârtie și carton, plastic și metal,sticlă) – transportate(acolo unde este cazul prin intermediul stațiilor de transfer) la stația de sortare din cadrul CMID Lupac;</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similare reziduale – transportate (acolo unde este cazul prin intermediul stațiilor de transfer) la instalația de tratare mecano-biologică din cadrul CMID Lupac;</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periculoase din deșeurile menajere– transportate la spațiile de stocare temporară, amplasate în cadrul stațiilor de Transfer sau CMID Lupac.</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voluminoase – transportate la spațiile de stocare temporară amplasate în cadrul CMID Lupac și stațiilor de Transfer;</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din construcții și demolări provenite de la populație din activități de amenajare/reamenajare interioară și exterioară a locuințelor - transportate la spațiile de stocare temporară amplasate în cadrul CMID Lupac și stațiilor de Transfer;</w:t>
      </w:r>
    </w:p>
    <w:p>
      <w:pPr>
        <w:numPr>
          <w:ilvl w:val="0"/>
          <w:numId w:val="34"/>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 din echipamente electrice și electronice - transportate la spațiile de stocare temporară amplasate în cadrul CMID Lupac și stațiilor de Transfer;</w:t>
      </w:r>
    </w:p>
    <w:p>
      <w:pPr>
        <w:shd w:val="clear" w:color="auto" w:fill="FFFFFF"/>
        <w:spacing w:after="240" w:line="276" w:lineRule="auto"/>
        <w:ind w:left="360"/>
        <w:jc w:val="both"/>
        <w:rPr>
          <w:rFonts w:ascii="Verdana" w:hAnsi="Verdana" w:cs="Verdana"/>
          <w:sz w:val="20"/>
          <w:szCs w:val="20"/>
          <w:lang w:val="ro-RO"/>
        </w:rPr>
      </w:pPr>
    </w:p>
    <w:p>
      <w:pPr>
        <w:shd w:val="clear" w:color="auto" w:fill="FFFFFF"/>
        <w:spacing w:after="240" w:line="276" w:lineRule="auto"/>
        <w:ind w:left="360"/>
        <w:jc w:val="both"/>
        <w:rPr>
          <w:rFonts w:ascii="Verdana" w:hAnsi="Verdana" w:cs="Verdana"/>
          <w:sz w:val="20"/>
          <w:szCs w:val="20"/>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89"/>
        </w:numPr>
        <w:shd w:val="clear" w:color="auto" w:fill="FFFFFF"/>
        <w:spacing w:after="240"/>
        <w:jc w:val="both"/>
        <w:rPr>
          <w:rFonts w:ascii="Verdana" w:hAnsi="Verdana" w:cs="Verdana"/>
          <w:sz w:val="20"/>
          <w:szCs w:val="20"/>
        </w:rPr>
      </w:pPr>
      <w:r>
        <w:rPr>
          <w:rFonts w:ascii="Verdana" w:hAnsi="Verdana" w:cs="Verdana"/>
          <w:sz w:val="20"/>
          <w:szCs w:val="20"/>
        </w:rPr>
        <w:t>Colectarea deșeurilor municipale colectate în amestec (reziduale și biodeșeuri), în funcție de sezon și de categoria utilizatorului, se realizează astfel:</w:t>
      </w:r>
    </w:p>
    <w:p>
      <w:pPr>
        <w:pStyle w:val="ListParagraph"/>
        <w:numPr>
          <w:ilvl w:val="0"/>
          <w:numId w:val="90"/>
        </w:numPr>
        <w:shd w:val="clear" w:color="auto" w:fill="FFFFFF"/>
        <w:spacing w:after="240"/>
        <w:jc w:val="both"/>
        <w:rPr>
          <w:rFonts w:ascii="Verdana" w:hAnsi="Verdana" w:cs="Verdana"/>
          <w:sz w:val="20"/>
          <w:szCs w:val="20"/>
        </w:rPr>
      </w:pPr>
      <w:r>
        <w:rPr>
          <w:rFonts w:ascii="Verdana" w:hAnsi="Verdana" w:cs="Verdana"/>
          <w:sz w:val="20"/>
          <w:szCs w:val="20"/>
        </w:rPr>
        <w:t>Deșeuri menajere:</w:t>
      </w:r>
    </w:p>
    <w:p>
      <w:pPr>
        <w:pStyle w:val="ListParagraph"/>
        <w:numPr>
          <w:ilvl w:val="1"/>
          <w:numId w:val="90"/>
        </w:numPr>
        <w:shd w:val="clear" w:color="auto" w:fill="FFFFFF"/>
        <w:spacing w:after="240"/>
        <w:jc w:val="both"/>
        <w:rPr>
          <w:rFonts w:ascii="Verdana" w:hAnsi="Verdana" w:cs="Verdana"/>
          <w:sz w:val="20"/>
          <w:szCs w:val="20"/>
        </w:rPr>
      </w:pPr>
      <w:r>
        <w:rPr>
          <w:rFonts w:ascii="Verdana" w:hAnsi="Verdana" w:cs="Verdana"/>
          <w:sz w:val="20"/>
          <w:szCs w:val="20"/>
        </w:rPr>
        <w:t xml:space="preserve">În mediul urban: o dată pe săptămână în zona de case și de 3 ori pe săptămână în zona de blocuri, </w:t>
      </w:r>
      <w:r>
        <w:rPr>
          <w:rFonts w:ascii="Verdana" w:hAnsi="Verdana" w:cs="Verdana"/>
          <w:sz w:val="20"/>
          <w:szCs w:val="20"/>
          <w:lang w:val="it-IT"/>
        </w:rPr>
        <w:t>sau de cate ori se impune;</w:t>
      </w:r>
    </w:p>
    <w:p>
      <w:pPr>
        <w:pStyle w:val="ListParagraph"/>
        <w:numPr>
          <w:ilvl w:val="1"/>
          <w:numId w:val="90"/>
        </w:numPr>
        <w:shd w:val="clear" w:color="auto" w:fill="FFFFFF"/>
        <w:spacing w:after="240"/>
        <w:jc w:val="both"/>
        <w:rPr>
          <w:rFonts w:ascii="Verdana" w:hAnsi="Verdana" w:cs="Verdana"/>
          <w:sz w:val="20"/>
          <w:szCs w:val="20"/>
        </w:rPr>
      </w:pPr>
      <w:r>
        <w:rPr>
          <w:rFonts w:ascii="Verdana" w:hAnsi="Verdana" w:cs="Verdana"/>
          <w:sz w:val="20"/>
          <w:szCs w:val="20"/>
        </w:rPr>
        <w:t>În mediul rural o dată pe săptămână în sezonul cald (aprilie-octombrie) și o dată la două săptămâni în sezonul rece (noiembrie-martie);</w:t>
      </w:r>
    </w:p>
    <w:p>
      <w:pPr>
        <w:pStyle w:val="ListParagraph"/>
        <w:numPr>
          <w:ilvl w:val="0"/>
          <w:numId w:val="90"/>
        </w:numPr>
        <w:shd w:val="clear" w:color="auto" w:fill="FFFFFF"/>
        <w:spacing w:after="240"/>
        <w:jc w:val="both"/>
        <w:rPr>
          <w:rFonts w:ascii="Verdana" w:hAnsi="Verdana" w:cs="Verdana"/>
          <w:sz w:val="20"/>
          <w:szCs w:val="20"/>
        </w:rPr>
      </w:pPr>
      <w:r>
        <w:rPr>
          <w:rFonts w:ascii="Verdana" w:hAnsi="Verdana" w:cs="Verdana"/>
          <w:sz w:val="20"/>
          <w:szCs w:val="20"/>
        </w:rPr>
        <w:t>Deșeuri similare: ori de câte ori este necesar, în funcție de cantitatea de deșeuri generată.</w:t>
      </w:r>
    </w:p>
    <w:p>
      <w:pPr>
        <w:pStyle w:val="ListParagraph"/>
        <w:numPr>
          <w:ilvl w:val="0"/>
          <w:numId w:val="89"/>
        </w:numPr>
        <w:shd w:val="clear" w:color="auto" w:fill="FFFFFF"/>
        <w:spacing w:after="240"/>
        <w:jc w:val="both"/>
        <w:rPr>
          <w:rFonts w:ascii="Verdana" w:hAnsi="Verdana" w:cs="Verdana"/>
          <w:sz w:val="20"/>
          <w:szCs w:val="20"/>
        </w:rPr>
      </w:pPr>
      <w:r>
        <w:rPr>
          <w:rFonts w:ascii="Verdana" w:hAnsi="Verdana" w:cs="Verdana"/>
          <w:sz w:val="20"/>
          <w:szCs w:val="20"/>
        </w:rPr>
        <w:t>Colectarea deșeurilor municipale reciclabile colectate separat în funcție categoria utilizatorului și de categoria deșeurilor, se realizează astfel:</w:t>
      </w:r>
    </w:p>
    <w:p>
      <w:pPr>
        <w:pStyle w:val="ListParagraph"/>
        <w:numPr>
          <w:ilvl w:val="0"/>
          <w:numId w:val="91"/>
        </w:numPr>
        <w:shd w:val="clear" w:color="auto" w:fill="FFFFFF"/>
        <w:spacing w:after="240"/>
        <w:jc w:val="both"/>
        <w:rPr>
          <w:rFonts w:ascii="Verdana" w:hAnsi="Verdana" w:cs="Verdana"/>
          <w:sz w:val="20"/>
          <w:szCs w:val="20"/>
        </w:rPr>
      </w:pPr>
      <w:r>
        <w:rPr>
          <w:rFonts w:ascii="Verdana" w:hAnsi="Verdana" w:cs="Verdana"/>
          <w:sz w:val="20"/>
          <w:szCs w:val="20"/>
        </w:rPr>
        <w:t>Deșeuri menajere reciclabile:</w:t>
      </w:r>
    </w:p>
    <w:p>
      <w:pPr>
        <w:pStyle w:val="ListParagraph"/>
        <w:numPr>
          <w:ilvl w:val="1"/>
          <w:numId w:val="91"/>
        </w:numPr>
        <w:shd w:val="clear" w:color="auto" w:fill="FFFFFF"/>
        <w:spacing w:after="240"/>
        <w:jc w:val="both"/>
        <w:rPr>
          <w:rFonts w:ascii="Verdana" w:hAnsi="Verdana" w:cs="Verdana"/>
          <w:sz w:val="20"/>
          <w:szCs w:val="20"/>
        </w:rPr>
      </w:pPr>
      <w:r>
        <w:rPr>
          <w:rFonts w:ascii="Verdana" w:hAnsi="Verdana" w:cs="Verdana"/>
          <w:sz w:val="20"/>
          <w:szCs w:val="20"/>
        </w:rPr>
        <w:t>În mediul urban, zona de blocuri: o dată pe săptămână pentru hârtie și carton, plastic și metal și o dată la 2 săptămâni pentru sticlă;</w:t>
      </w:r>
    </w:p>
    <w:p>
      <w:pPr>
        <w:pStyle w:val="ListParagraph"/>
        <w:numPr>
          <w:ilvl w:val="1"/>
          <w:numId w:val="91"/>
        </w:numPr>
        <w:shd w:val="clear" w:color="auto" w:fill="FFFFFF"/>
        <w:spacing w:after="240"/>
        <w:jc w:val="both"/>
        <w:rPr>
          <w:rFonts w:ascii="Verdana" w:hAnsi="Verdana" w:cs="Verdana"/>
          <w:sz w:val="20"/>
          <w:szCs w:val="20"/>
        </w:rPr>
      </w:pPr>
      <w:r>
        <w:rPr>
          <w:rFonts w:ascii="Verdana" w:hAnsi="Verdana" w:cs="Verdana"/>
          <w:sz w:val="20"/>
          <w:szCs w:val="20"/>
        </w:rPr>
        <w:t>În mediul urban, zona de case: o dată la 2 săptămâni;</w:t>
      </w:r>
      <w:r>
        <w:t xml:space="preserve"> </w:t>
      </w:r>
      <w:r>
        <w:rPr>
          <w:rFonts w:ascii="Verdana" w:hAnsi="Verdana" w:cs="Verdana"/>
          <w:sz w:val="20"/>
          <w:szCs w:val="20"/>
        </w:rPr>
        <w:t>pentru hârtie și carton, plastic și metal, sticlă;</w:t>
      </w:r>
    </w:p>
    <w:p>
      <w:pPr>
        <w:pStyle w:val="ListParagraph"/>
        <w:numPr>
          <w:ilvl w:val="1"/>
          <w:numId w:val="91"/>
        </w:numPr>
        <w:shd w:val="clear" w:color="auto" w:fill="FFFFFF"/>
        <w:spacing w:after="240"/>
        <w:jc w:val="both"/>
        <w:rPr>
          <w:rFonts w:ascii="Verdana" w:hAnsi="Verdana" w:cs="Verdana"/>
          <w:sz w:val="20"/>
          <w:szCs w:val="20"/>
        </w:rPr>
      </w:pPr>
      <w:r>
        <w:rPr>
          <w:rFonts w:ascii="Verdana" w:hAnsi="Verdana" w:cs="Verdana"/>
          <w:sz w:val="20"/>
          <w:szCs w:val="20"/>
        </w:rPr>
        <w:t>În mediul rural: o dată la 2 săptămâni pentru hârtie și carton, plastic și metal și o dată la 4 săptămâni pentru sticlă;</w:t>
      </w:r>
    </w:p>
    <w:p>
      <w:pPr>
        <w:pStyle w:val="ListParagraph"/>
        <w:numPr>
          <w:ilvl w:val="0"/>
          <w:numId w:val="91"/>
        </w:numPr>
        <w:shd w:val="clear" w:color="auto" w:fill="FFFFFF"/>
        <w:spacing w:after="240"/>
        <w:ind w:hanging="357"/>
        <w:jc w:val="both"/>
        <w:rPr>
          <w:rFonts w:ascii="Verdana" w:hAnsi="Verdana" w:cs="Verdana"/>
          <w:sz w:val="20"/>
          <w:szCs w:val="20"/>
        </w:rPr>
      </w:pPr>
      <w:r>
        <w:rPr>
          <w:rFonts w:ascii="Verdana" w:hAnsi="Verdana" w:cs="Verdana"/>
          <w:sz w:val="20"/>
          <w:szCs w:val="20"/>
        </w:rPr>
        <w:t>Deșeuri similare reciclabile: ori de câte ori este necesar, în funcție de cantitatea de deșeuri generată.</w:t>
      </w:r>
    </w:p>
    <w:p>
      <w:pPr>
        <w:pStyle w:val="ListParagraph"/>
        <w:numPr>
          <w:ilvl w:val="0"/>
          <w:numId w:val="89"/>
        </w:numPr>
        <w:shd w:val="clear" w:color="auto" w:fill="FFFFFF"/>
        <w:spacing w:after="240"/>
        <w:ind w:hanging="357"/>
        <w:jc w:val="both"/>
        <w:rPr>
          <w:rFonts w:ascii="Verdana" w:hAnsi="Verdana" w:cs="Verdana"/>
          <w:sz w:val="20"/>
          <w:szCs w:val="20"/>
        </w:rPr>
      </w:pPr>
      <w:r>
        <w:rPr>
          <w:rFonts w:ascii="Verdana" w:hAnsi="Verdana" w:cs="Verdana"/>
          <w:sz w:val="20"/>
          <w:szCs w:val="20"/>
        </w:rPr>
        <w:t>Colectarea deșeurilor reziduale cu conținut  organic (bio-deșeuri) din deșeurile municipale, în funcție de sezon și de categoria utilizatorului, se realizează astfel:</w:t>
      </w:r>
    </w:p>
    <w:p>
      <w:pPr>
        <w:pStyle w:val="ListParagraph"/>
        <w:numPr>
          <w:ilvl w:val="1"/>
          <w:numId w:val="89"/>
        </w:numPr>
        <w:shd w:val="clear" w:color="auto" w:fill="FFFFFF"/>
        <w:spacing w:after="240"/>
        <w:ind w:left="709" w:hanging="357"/>
        <w:jc w:val="both"/>
        <w:rPr>
          <w:rFonts w:ascii="Verdana" w:hAnsi="Verdana" w:cs="Verdana"/>
          <w:sz w:val="20"/>
          <w:szCs w:val="20"/>
        </w:rPr>
      </w:pPr>
      <w:r>
        <w:rPr>
          <w:rFonts w:ascii="Verdana" w:hAnsi="Verdana" w:cs="Verdana"/>
          <w:sz w:val="20"/>
          <w:szCs w:val="20"/>
        </w:rPr>
        <w:t>pentru perioada 1 aprilie-1 octombrie:</w:t>
      </w:r>
    </w:p>
    <w:p>
      <w:pPr>
        <w:pStyle w:val="ListParagraph"/>
        <w:numPr>
          <w:ilvl w:val="1"/>
          <w:numId w:val="91"/>
        </w:numPr>
        <w:shd w:val="clear" w:color="auto" w:fill="FFFFFF"/>
        <w:spacing w:after="240"/>
        <w:ind w:hanging="357"/>
        <w:jc w:val="both"/>
        <w:rPr>
          <w:rFonts w:ascii="Verdana" w:hAnsi="Verdana" w:cs="Verdana"/>
          <w:sz w:val="20"/>
          <w:szCs w:val="20"/>
        </w:rPr>
      </w:pPr>
      <w:r>
        <w:rPr>
          <w:rFonts w:ascii="Verdana" w:hAnsi="Verdana" w:cs="Verdana"/>
          <w:sz w:val="20"/>
          <w:szCs w:val="20"/>
        </w:rPr>
        <w:t>zilnic, din zonele centrale şi de la unităţile de alimentaţie şi cazare, pieţe agroalimentare, unităţile sanitare cu paturi, grădiniţe şi creşe;</w:t>
      </w:r>
    </w:p>
    <w:p>
      <w:pPr>
        <w:pStyle w:val="ListParagraph"/>
        <w:numPr>
          <w:ilvl w:val="1"/>
          <w:numId w:val="91"/>
        </w:numPr>
        <w:shd w:val="clear" w:color="auto" w:fill="FFFFFF"/>
        <w:spacing w:after="240"/>
        <w:ind w:hanging="357"/>
        <w:jc w:val="both"/>
        <w:rPr>
          <w:rFonts w:ascii="Verdana" w:hAnsi="Verdana" w:cs="Verdana"/>
          <w:sz w:val="20"/>
          <w:szCs w:val="20"/>
        </w:rPr>
      </w:pPr>
      <w:r>
        <w:rPr>
          <w:rFonts w:ascii="Verdana" w:hAnsi="Verdana" w:cs="Verdana"/>
          <w:sz w:val="20"/>
          <w:szCs w:val="20"/>
        </w:rPr>
        <w:t>la cel mult două zile în celelalte cazuri;</w:t>
      </w:r>
    </w:p>
    <w:p>
      <w:pPr>
        <w:pStyle w:val="ListParagraph"/>
        <w:numPr>
          <w:ilvl w:val="1"/>
          <w:numId w:val="89"/>
        </w:numPr>
        <w:shd w:val="clear" w:color="auto" w:fill="FFFFFF"/>
        <w:spacing w:after="240"/>
        <w:ind w:left="709"/>
        <w:jc w:val="both"/>
        <w:rPr>
          <w:rFonts w:ascii="Verdana" w:hAnsi="Verdana" w:cs="Verdana"/>
          <w:sz w:val="20"/>
          <w:szCs w:val="20"/>
        </w:rPr>
      </w:pPr>
      <w:r>
        <w:rPr>
          <w:rFonts w:ascii="Verdana" w:hAnsi="Verdana" w:cs="Verdana"/>
          <w:sz w:val="20"/>
          <w:szCs w:val="20"/>
        </w:rPr>
        <w:t xml:space="preserve">pentru sezonul rece - 1 octombrie -1 aprilie:  la cel mult de 3 zile  cu condiţia ca la colectare să fie asigurate capacități de colectare suficiente pentru acest interval de timp; </w:t>
      </w:r>
    </w:p>
    <w:p>
      <w:pPr>
        <w:pStyle w:val="ListParagraph"/>
        <w:numPr>
          <w:ilvl w:val="0"/>
          <w:numId w:val="89"/>
        </w:numPr>
        <w:shd w:val="clear" w:color="auto" w:fill="FFFFFF"/>
        <w:spacing w:after="240"/>
        <w:ind w:hanging="357"/>
        <w:jc w:val="both"/>
        <w:rPr>
          <w:rFonts w:ascii="Verdana" w:hAnsi="Verdana" w:cs="Verdana"/>
          <w:sz w:val="20"/>
          <w:szCs w:val="20"/>
        </w:rPr>
      </w:pPr>
      <w:r>
        <w:rPr>
          <w:rFonts w:ascii="Verdana" w:hAnsi="Verdana" w:cs="Verdana"/>
          <w:sz w:val="20"/>
          <w:szCs w:val="20"/>
        </w:rPr>
        <w:t>Intervalul între două colectări a deșeurilor reziduale prevăzut mai sus poate fi mărit cu avizul autorităţii de sănătate publică teritoriale.</w:t>
      </w:r>
    </w:p>
    <w:p>
      <w:pPr>
        <w:pStyle w:val="ListParagraph"/>
        <w:numPr>
          <w:ilvl w:val="0"/>
          <w:numId w:val="89"/>
        </w:numPr>
        <w:shd w:val="clear" w:color="auto" w:fill="FFFFFF"/>
        <w:spacing w:after="240"/>
        <w:ind w:hanging="357"/>
        <w:jc w:val="both"/>
        <w:rPr>
          <w:rFonts w:ascii="Verdana" w:hAnsi="Verdana" w:cs="Verdana"/>
          <w:sz w:val="20"/>
          <w:szCs w:val="20"/>
        </w:rPr>
      </w:pPr>
      <w:r>
        <w:rPr>
          <w:rFonts w:ascii="Verdana" w:hAnsi="Verdana" w:cs="Verdana"/>
          <w:sz w:val="20"/>
          <w:szCs w:val="20"/>
        </w:rPr>
        <w:t xml:space="preserve">În funcție de cantităţile colectate şi de volumul recipientelor de colectare, frecvența de colectare poate fi modificată de către operator la solicitarea UAT-urilor si a ADI </w:t>
      </w:r>
      <w:r>
        <w:rPr>
          <w:rFonts w:ascii="Verdana" w:hAnsi="Verdana" w:cs="Verdana"/>
          <w:sz w:val="20"/>
          <w:szCs w:val="20"/>
        </w:rPr>
        <w:lastRenderedPageBreak/>
        <w:t>INTERCOM DEȘEURI CARAȘ SEVERIN, la un interval de timp adecvat condițiilor specifice.</w:t>
      </w:r>
    </w:p>
    <w:p>
      <w:pPr>
        <w:numPr>
          <w:ilvl w:val="0"/>
          <w:numId w:val="8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Consiliile locale, Consiliul județean Caraș-Severin și ADI INTERCOM DEȘEURI vor stabili intervalul orar de colectare a deşeurilor municipale, preferabil între orele 06,00-18,00 pe arterele care au un iluminat public corespunzător, în funcţie de trafic şi de posibilităţile de acces ale operatorului la spațiile de colectare, având în vedere și programul de funcționare a instalațiilor de transfer/tratare/depozitare.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shd w:val="clear" w:color="auto" w:fill="FFFFFF"/>
        <w:spacing w:after="240" w:line="276" w:lineRule="auto"/>
        <w:ind w:left="360"/>
        <w:jc w:val="both"/>
        <w:rPr>
          <w:rFonts w:ascii="Verdana" w:hAnsi="Verdana" w:cs="Verdana"/>
          <w:sz w:val="20"/>
          <w:szCs w:val="20"/>
          <w:lang w:val="ro-RO"/>
        </w:rPr>
      </w:pPr>
      <w:r>
        <w:rPr>
          <w:rFonts w:ascii="Verdana" w:hAnsi="Verdana" w:cs="Verdana"/>
          <w:sz w:val="20"/>
          <w:szCs w:val="20"/>
          <w:lang w:val="ro-RO"/>
        </w:rPr>
        <w:t>Activitățile specifice serviciului de salubrizare se gestionează și se exploatează prin intermediul unor structuri specializate, denumite în continuare operatori, licențiate în condițiile Legii serviciilor comunitare de utilități publice nr. 51/2006, republicată. Operatorii care colectează, transportă și stochează deșeurile menționate la art. 14 trebuie să cunoască:</w:t>
      </w:r>
    </w:p>
    <w:p>
      <w:pPr>
        <w:numPr>
          <w:ilvl w:val="0"/>
          <w:numId w:val="1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tipurile și cantitățile de deșeuri care urmează să fie transportate, pentru fiecare categorie de deșeuri în parte;</w:t>
      </w:r>
    </w:p>
    <w:p>
      <w:pPr>
        <w:numPr>
          <w:ilvl w:val="0"/>
          <w:numId w:val="1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cerințele tehnice generale;</w:t>
      </w:r>
    </w:p>
    <w:p>
      <w:pPr>
        <w:numPr>
          <w:ilvl w:val="0"/>
          <w:numId w:val="1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măsurile de precauție necesare;</w:t>
      </w:r>
    </w:p>
    <w:p>
      <w:pPr>
        <w:numPr>
          <w:ilvl w:val="0"/>
          <w:numId w:val="1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informațiile privind originea, destinația, tratarea și eliminarea deșeurilor, precum și tipul și cantitatea de deșeuri (pentru fiecare categorie în parte), date care trebuie prezentate, la cerere, autorităților competente.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Prestarea activității de salubrizare privind colectarea și transportul deșeurilor municipale trebuie realizată în astfel de condiții încât să se asigure:</w:t>
      </w:r>
    </w:p>
    <w:p>
      <w:pPr>
        <w:numPr>
          <w:ilvl w:val="0"/>
          <w:numId w:val="1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protejarea sănătății populației;</w:t>
      </w:r>
    </w:p>
    <w:p>
      <w:pPr>
        <w:numPr>
          <w:ilvl w:val="0"/>
          <w:numId w:val="1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protecția mediului înconjurător;</w:t>
      </w:r>
    </w:p>
    <w:p>
      <w:pPr>
        <w:numPr>
          <w:ilvl w:val="0"/>
          <w:numId w:val="1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menținerea curățeniei și crearea unei estetici corespunzătoare a localităților;</w:t>
      </w:r>
    </w:p>
    <w:p>
      <w:pPr>
        <w:numPr>
          <w:ilvl w:val="0"/>
          <w:numId w:val="1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conservarea resurselor naturale prin reducerea cantității de deșeuri și reciclarea acestora.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 xml:space="preserve">Persoanele fizice și juridice producătoare de deșeuri municipale trebuie să realizeze activitatea de precolectare separată, potrivit specificului locului de producere a deșeurilor, în condiții salubre, în spații special amenajate și prin sistemele propuse de catre UAT-uri si impreuna cu </w:t>
      </w:r>
      <w:r>
        <w:rPr>
          <w:rFonts w:ascii="Verdana" w:hAnsi="Verdana" w:cs="Verdana"/>
          <w:sz w:val="20"/>
          <w:szCs w:val="20"/>
          <w:lang w:val="it-IT"/>
        </w:rPr>
        <w:t>ADI INTERCOM DEȘEURI CARAȘ SEVERIN</w:t>
      </w:r>
      <w:r>
        <w:rPr>
          <w:rFonts w:ascii="Verdana" w:hAnsi="Verdana" w:cs="Verdana"/>
          <w:sz w:val="20"/>
          <w:szCs w:val="20"/>
          <w:lang w:val="ro-RO"/>
        </w:rPr>
        <w:t xml:space="preserve"> și asigurate de operatorii de salubrizare care organizează activitatea de colectare a deșeurilor de acest tip.</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Colectarea deșeurilor menajere nepericuloase de la populație se realizează separat, pe categorii de deșeuri, după cum urmează:</w:t>
      </w:r>
    </w:p>
    <w:p>
      <w:pPr>
        <w:numPr>
          <w:ilvl w:val="0"/>
          <w:numId w:val="1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localitățile din mediul urban, în zona de blocuri, colectarea deșeurilor se realizează pe 4 fracții:</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hârtie și carton se colectează în puncte de colectare în containere de 1,1 mc, în containere asigurate de ADI INTERCOM;</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plastic și metal se colectează în puncte de colectare în containere de 1,1 mc, în containere asigurate de ADI INTERCOM;</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sticlă se colectează pe o singură culoare în puncte de colectare în containere de 1,1 m în containere asigurate de ADI INTERCOM ;</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reziduale se colectează în puncte de colectare, în containerele asigurate de către operatori;</w:t>
      </w:r>
    </w:p>
    <w:p>
      <w:pPr>
        <w:numPr>
          <w:ilvl w:val="0"/>
          <w:numId w:val="1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localitățile din mediul urban, în zona de case, colectarea deșeurilor se realizează pe minim 4 fracții:</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hârtie și carton se colectează in sistemul din poarta in poarta, in pubele colorate sau saci colorati asigutati de operator, acolo unde sistemul este deja implementat si/sau in punctele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plastic și metal se colectează in sistemul din poarta in poarta, in pubele colorate sau saci colorati asigutati de operator, acolo unde sistemul este deja implementat si/sau in punctele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sticlă se colectează in sistemul din poarta in poarta, in pubele colorate sau saci colorati asigutati de operator, acolo unde sistemul este deja implementat si/sau in punctele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reziduale se colectează din poartă în poartă, în pubelele asigurate de operator;</w:t>
      </w:r>
    </w:p>
    <w:p>
      <w:pPr>
        <w:numPr>
          <w:ilvl w:val="0"/>
          <w:numId w:val="1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localitățile din mediul rural colectarea deșeurilor se realizează pe 5 fracții astfel:</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hârtie și carton se colectează în puncte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deșeurile de plastic și metal se colectează în puncte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sticlă se colectează pe o singură culoare în puncte de colectare în containere de 1,1 mc, în containere asigurate de ADI INTERCOM; urmand ca pana cel tarziu in anul 2025 sa se colecteze prin sistemul din poarta in poarta;</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biodeșeurile se colectează și compostează în unitățile de compostare individuale;</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reziduale împreună cu biodeșeurile, (din zonele care nu au fost dotate cu unități de compostare individuală), se colectează din poartă în poartă, în pubelele asigurate de operator;</w:t>
      </w:r>
    </w:p>
    <w:p>
      <w:pPr>
        <w:numPr>
          <w:ilvl w:val="0"/>
          <w:numId w:val="1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localitățile din mediul rural care au mai puțin de 100 de locuitori (Anexa 3) nu se colectează separat deșeurile reciclabile;</w:t>
      </w:r>
    </w:p>
    <w:p>
      <w:pPr>
        <w:numPr>
          <w:ilvl w:val="0"/>
          <w:numId w:val="1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zonele din mediul rural cu acces dificil și în zonele de case din mediul urban cu acces dificil (Anexa 4) colectarea deșeurilor reziduale se realizează în containere de 1,1 mc, în puncte de colectare.</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similare de la instituții, comerț și industrie se realizează separat, pe 4 fracții (deșeuri de hârtie și carton, deșeuri de sticlă, deșeuri de plastic și metal și deșeuri reziduale în amestec cu deșeurile biodegradabile), în funcție de specificul unității, în recipienteproprii sau puși la dispoziție contracost de către operatorul de salubrizare, astfel:</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Restaurantele, hotelurile și pensiunile care servesc și masa – colectare separată pe 4 fracții – deșeuri de ambalaje (hârtie și carton, plastic și metal, sticlă), deșeuri reziduale în amestec cu deșeurile biodegradabile;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Cantine, cofetării și baruri, unități de cattering – colectare separată pe 4 fracții – deșeuri de ambalaje (hârtie și carton, plastic și metal, sticlă), deșeuri reziduale în amestec cu deșeurile biodegradabile;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Unități de vânzare cu amănuntul (cash and carry) – unități de vânzare cu suprafața mai mică de 400 mp și cu maxim 2 angajați – colectare separatăpe 4 fracții – deșeuri de ambalaje (hârtie și carton, plastic și metal, sticlă) și deșeuri rezidualeîmpreună cu deșeurile biodegradabile; deșeurile de ambalaje se colectează în punctele de colectare stradale, împreună cu deșeurile reciclabile de la populație;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Unități de vânzare cu amănuntul (cash and carry) – unități de vânzare cu suprafață medie și mare – colectare separatăpe 4 fracții – deșeuri de ambalaje (hârtie și carton, plastic și metal, sticlă) și deșeuri rezidualeîmpreună cu deșeurile biodegradabile; deșeurile de ambalaje colectate separat se valorifică fie prin grija operatorului economic generator, fie prin încredințarea acestora operatorului de salubrizare;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Orice operator economic, care desfășoară altă activitate, mai puțin comerț – colectare în amestec;</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Unități de învățământ – colectare separatăpe 4 fracții – deșeuri de ambalaje (hârtie și carton, plastic și metal, sticlă) și deșeuri rezidualeîmpreună cu deșeurile biodegradabile;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Unități sanitare fără paturi – colectare separatăpe 4 fracții – deșeuri de ambalaje (hârtie și carton, plastic și metal, sticlă) și deșeuri rezidualeîmpreună cu deșeurile biodegradabile; deșeurile rezultate din activitatea medicalăsunt colectate separat și eliminate prin operatori acreditați pentru această activitate, nefiind deșeuri asimilabile;</w:t>
      </w:r>
    </w:p>
    <w:p>
      <w:pPr>
        <w:numPr>
          <w:ilvl w:val="0"/>
          <w:numId w:val="3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Unități sanitare cu paturi – colectare separatăpe 4 fracții – deșeuri de ambalaje (hârtie și carton, plastic și metal, sticlă) și deșeuri rezidualeîmpreună cu deșeurile biodegradabile; deșeurile rezultate din activitatea medicală sunt colectate separat și eliminate prin operatori acreditați pentru această activitate, nefiind deșeuri asimilabile.</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 xml:space="preserve">Colectarea deșeurilor menajere periculoase se realizează cu ajutorul mașinilor specializate pentru colectarea și transportul deșeurilor periculoase (hazmobile). Colectarea se va realiza după un program stabilit la începutul anului în puncte fixe. Atât programul de colectare, cât și punctele de staționare a mașinii vor fi comunicate cetățenilor din fiecare zonă în parte la începutul fiecărui an.Deșeurilepericuloase menajere colectate vor fi transportate și predate operatorului CMID Lupac. Preluarea, stocarea temporară, precum și tratarea și eliminarea deșeurilor periculoase menajere se realizează în condițiile legii. </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Deșeurile de baterii și acumulatori se predau în sistemele de colectare puse la dispoziție de către producători, aflate în spațiile comerciale.</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Modul de colectare a deșeurilor voluminoase rezultate de la populație este prezentat în Capitolul II, secțiunea 6.</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Modul de colectare a deșeurilor de echipamente electrice și electronice rezultate de la populație este prezentat în Capitolul II, secțiunea 7.</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Modul de colectare a deșeurilor din construcții și demolări rezultate de la populație este prezentat în Capitolul II, secțiunea 8.</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Încazul unităților sanitare și veterinare, operatorii de salubrizare sunt responsabili numai pentru colectarea deșeurilor similare. Este interzisă amestecarea cu deșeurile similare sau predarea separată către operatorii de salubrizare a următoarelor categorii de deșeuri rezultate din activitățile unităților sanitare și din activități veterinare și/sau cercetări conexe:</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obiecte ascuțite;</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fragmente și organe umane, inclusiv recipiente de sânge și sânge conservat;</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deșeuri a căror colectare și eliminare fac obiectul unor măsuri speciale privind prevenirea infecțiilor;</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chimicale periculoase și nepericuloase;</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medicamente citotoxice și citostatice;</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alte tipuri de medicamente;</w:t>
      </w:r>
    </w:p>
    <w:p>
      <w:pPr>
        <w:numPr>
          <w:ilvl w:val="0"/>
          <w:numId w:val="1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amalgam de la tratamentele stomatologice.</w:t>
      </w: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și stocarea acestor tipuri de deșeuri se realizează în condițiile reglementate de Ordinul Ministrului Sănătățiinr. 219/2002 cu modificările ulterioare. Colectarea, transportul și eliminarea acestor tipuri de deșeuri se realizează de către operatori economici autorizați în condițiile legii.</w:t>
      </w:r>
    </w:p>
    <w:p>
      <w:pPr>
        <w:numPr>
          <w:ilvl w:val="0"/>
          <w:numId w:val="47"/>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 xml:space="preserve">Deșeurile rezultate din îngrijiri medicale acordate la domiciliul pacientului sau cele rezultate din activitatea de îngrijiri medicale acordate în cabinete medicale amplasate în condominii au același regim cu cel al deșeurilor periculoase rezultate din activitatea medicală, conform reglementărilor legale specifice. Persoanele care își administrează singure tratamente injectabile la domiciliu și cadrele medicale care aplică tratamente la domiciliu sunt obligate să colecteze deșeurile rezultate în recipiente cu pereți rezistenți (cutii din carton, cutii din metal etc.), pe care le vor depune la cea mai apropiată unitate de asistență medicală publică, care are obligația de a le primi. Cabinetele medicale vor respecta legislația specifică în domeniu.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municipale se face numai în recipienteînchise cu capac.</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Înfuncție de sistemul de precolectare adoptat, colectarea se va realiza separat, conform prevederilor art. 18.</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Recipientele folosite pentru colectarea separatăa deșeurilor municipalevor fi inscripționate cu denumirea deșeurilor pentru care sunt destinate și vor avea culorile stabilite prin&lt;LLNK 12005  1281 50EU01   0 24&gt;Ordinul nr. 1.281/2005 al ministrului mediului și gospodăririi apelor, respectiv nr. 1.121/2006 al ministrului administrației și internelor.</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 vederea realizării activității de colectare, operatorii care asigură activitatea de colectare și transport vor dota punctele amenajate, conform legii, cu recipiente de colectare.</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Operatorii licențiați pentru desfășurarea activității de colectare separată și transport separat al deșeurilor, cu excepția deșeurilor periculoase cu regim special, au obligația să colecteze deșeurile abandonate.</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Operatorii,împreună cu autoritățileadministrației publice locale, au obligația să identifice toți producătorii de deșeuri municipale și să acționeze în vederea înființării și amenajării facilităților necesare activității de precolectare și colectare, conform prevederilor Contractelor de delegare a serviciilor.</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 xml:space="preserve">Autoritățile administrației publice locale aproba tarife si instituie taxe speciale de salubrizare pentru constituirea fondurilor pentru finanțarea activităților componente ale serviciului de salubrizare enumerate la art. 2 literele a), b), c) e). </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Taxa specială de salubrizare este instituită și pentru utilizatorii casnici din mediul rural.</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Utilizatorii non-casnici din mediul rural și utilizatorii casnici și non-casnici din mediul urban vor plăti serviciile de salubrizare prin instituirea de tarife.</w:t>
      </w:r>
    </w:p>
    <w:p>
      <w:pPr>
        <w:numPr>
          <w:ilvl w:val="0"/>
          <w:numId w:val="48"/>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Autoritățile administrației publice locale, împreună cu operatorii au obligația să țină, la zi, evidența tuturor utilizatorilor cu și fără contracte de prestări servicii, in vederea decontarii prestatiei direct din bugetul local pe baza taxelor locale instituite in acest sens. Finanțarea oricăror altor activități suplimentare se va realiza în mod direct, pe baza contractelor de prestări servicii încheiate între părți.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Acolo unde este cazul, punctele de colectare vor fi dotate de către operatorul de salubrizare cu recipiente marcate în culorile stabilite de actele normative în vigoare, având capacitatea de înmagazinare corelată cu numărul de utilizatori arondați și cu frecvența de colectare, asigurând condiții de acces ușor pentru autovehiculele destinate colectării.</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Învederea prevenirii utilizării fără drept a recipientelor de colectare a deșeurilor municipale, acestea vor fi inscripționate cu un marcaj de identificare realizat astfel încât să nu poată fi șters fără să rămânăurme vizibile.</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Operatorii vor suplimenta capacitatea de înmagazinare, inclusiv prin mărirea numărului de recipiente, în cazul în care se dovedește că volumul acestora este insuficient.</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Menținerea în stare salubră, ventilarea, deratizarea, dezinfecția și dezinsecția punctelor de colectare revin persoanelor fizice și/sau juridice, în cazul în care acestea se află în spații aparținând utilizatorului sau operatorilor, în cazul în care acestea sunt amplasate pe domeniul public.</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Pentru condominii care nu sunt prevăzute cu tobogan pentru evacuarea deșeurilor, spațiile de colectare exterioare puse la dispoziție de autoritățile administrației publice locale se amenajează astfel încât să permită amplasarea numărului necesar de recipiente care să asigure capacitatea de colectare, corelată cu frecvențade colectare. Aceste spații vor fi împrejmuite, acoperite și amplasate în locuri care să permită accesul ușor al autovehiculelor de colectare. Stabilirea locului de amplasare a platformei de colectare a deșeurilor municipale pe domeniul public se va face astfel încât distanța până la ferestrele spațiilor cu destinație de locuință să fie mai mare de 5 m.</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 xml:space="preserve">Platformele spațiilor necesare colectării deșeurilor, care se vor realiza prin grija autorităților administrației publice localevor fi în mod obligatoriu betonate sau asfaltate și se vor asigura condiții de scurgere a apei provenite din exfiltrații sau a celei meteorice. </w:t>
      </w:r>
    </w:p>
    <w:p>
      <w:pPr>
        <w:numPr>
          <w:ilvl w:val="0"/>
          <w:numId w:val="49"/>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 xml:space="preserve">Operatorii vor urmări starea de etanșeitate a recipientelor de colectare, urmând a le înlocui imediat pe cele care s-au deteriorat.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municipale se poate face în următoarele moduri:</w:t>
      </w:r>
    </w:p>
    <w:p>
      <w:pPr>
        <w:numPr>
          <w:ilvl w:val="0"/>
          <w:numId w:val="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ermetică în autovehicule compactoare;</w:t>
      </w:r>
    </w:p>
    <w:p>
      <w:pPr>
        <w:numPr>
          <w:ilvl w:val="0"/>
          <w:numId w:val="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în containere închise;</w:t>
      </w:r>
    </w:p>
    <w:p>
      <w:pPr>
        <w:numPr>
          <w:ilvl w:val="0"/>
          <w:numId w:val="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prin schimb de recipiente;</w:t>
      </w:r>
    </w:p>
    <w:p>
      <w:pPr>
        <w:numPr>
          <w:ilvl w:val="0"/>
          <w:numId w:val="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alte sisteme care îndeplinesc condițiile impuse prin normele igienico-sanitare și de protecție a mediului.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municipale se efectuează folosindu-se doar autovehicule special echipate pentru transportul acestora.</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Vehiculele suntîncărcate astfel încât deșeurile să nu fie vizibile și să nu existe posibilitatea împrăștierii lor pe calea publică. Fiecărui vehicul i se va asigura personalul necesar pentru executarea operațiunilor specifice, în condiții de siguranță și de eficiență.</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Încărcareadeșeurilor municipale în autovehiculele transportatoare se face direct din recipiente. Este interzisă descărcarea recipientelor pe sol în vederea încărcării acestora în autovehicule.</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Personalul care efectuează colectarea este obligat să manevreze recipientele de colectare astfel încât să nu se producă praf, zgomot sau să se răspândească deșeuri în afara autovehiculelor de transport.Dupăgolire recipientele de colectaresunt așezate în locul de unde au fost ridicate.</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Încazul deteriorării unor recipiente și al împrăștierii accidentale a deșeurilor în timpul operațiunii de golire, personalul care execută colectarea este obligat săîncarce întreaga cantitate de deșeuri în autovehicul, astfel încât locul să rămână curat, fiind dotat corespunzător pentru această activitate.</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Personalul care execută colectarea este obligat săîncarce în autovehicule întreaga cantitate de deșeuri municipale existente la punctele de colectare, lăsând locul curat și măturat, chiar dacă există deșeuri municipale amplasate lângă containerele de colectare.</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Încazul în care în/lângă recipientele de colectare sunt depozitate și deșeuri din construcții și desființări, deșeuri voluminoase sau deșeuri de echipamente electrice și electronice, acestea vor fi colectate separat, după caz, înștiințând în scris generatorul despre acest fapt, precum și suma suplimentară pe care trebuie să o plătească pentru colectarea acelor deșeuri.Încazul în care generatorul nu poate fi identificat, suma suplimentară este plătită de către unitatea administrativ-teritorială.</w:t>
      </w:r>
    </w:p>
    <w:p>
      <w:pPr>
        <w:numPr>
          <w:ilvl w:val="0"/>
          <w:numId w:val="50"/>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Operatorii au obligația să colecteze toate anvelopele abandonate pe domeniul public, inclusiv cele de la punctele de colectare a deșeurilor municipale și să le predea persoanelor juridice care desfășoară activitatea de colectare a anvelopelor uzate sau celor care preiau responsabilitatea gestionării anvelopelor uzate de la persoanele juridice care introduc pe piață anvelope noi și/sau anvelope uzate destinate reutilizării, dacă acesta nu este autorizat pentru această activitate în condițiile legii.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Transportul deșeurilor municipale, în funcție de proveniența acestora, se realizează numai de operatorii serviciului de salubrizare, care trebuie să utilizeze autovehicule destinate acestui scop, acoperite și prevăzute cu dispozitive de golire automată a recipientelor de colectare, care să nu permităîmprăștierea deșeurilor sau a prafului, emanarea de noxe sau scurgeri de lichide în timpul transportului.</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Starea tehnică a autovehiculelor trebuie să fie corespunzătoare circulației pe drumurile publice, fără scurgeri de carburanți, lubrifianți sau lichide speciale, cu emisii reduse de noxe (zgomot și gaze de eșapament), și să prezinte o bună etanșeitate a benelor de încărcare.</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Autovehiculele care transportă deșeuri municipale trebuie să aibă un aspect îngrijit și să fie personalizate cu sigla operatorului.</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Autovehiculele trebuie să aibă dimensiunile adaptate la condițiile de drum, structura localității și structura arhitecturală a diferitelor clădiri, dotarea tehnică necesară pentru intervenție în cazul unor accidente sau defecțiuni apărute în timpul transportării deșeurilor.</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Personalul operativ care deservește mijloacele auto trebuie să fie instruit pentru efectuarea transportului în condiții de siguranță, să dețină toate documentele de însoțire și să nu abandoneze deșeurile pe traseu.</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Pentru deplasare se vor folosi traseele cele mai scurte, cu cel mai redus risc pentru sănătatea populației și a mediului, care au fost sau vor fii aprobate de autoritățile administrației publice locale. Pentru minimizarea distanțelor de transport se vor utiliza stațiile de transfer existente.</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Intervalele orare de colectare a deșeurilor municipale sunt cele prevazute la Articolul 15 Aliniat 6 din prezentul regulament astfel încât să fie asigurate în permanență salubrizarea localităților și confortul locuitorilor.</w:t>
      </w:r>
    </w:p>
    <w:p>
      <w:pPr>
        <w:numPr>
          <w:ilvl w:val="0"/>
          <w:numId w:val="51"/>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Vehiculele vor fi întreținute astfel încât să corespundă scopului propus, benele și containerele vor fi spălate și vor fi dezinfectate periodic în interior și la exterior, conform normelor tehnice precizate de producător sau în actele normative în vigoare, numai în spațiile care sunt dotate cu sisteme de colectare a apelor uzate provenite din spălare, separat de sistemul de canalizare al localității. Apele uzate provenite din spălatul autovehiculelor vor fi deversate numai după epurarea lor într-o stație de tratare ape uzate. Încanalizarea orășenească, după pre-epurare, cu respectarea prevederilor legislației în vigoare privind protecția mediului.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2"/>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Însituația în care, ca urmare a execuției unor lucrări tehnico-edilitare aferente infrastructurii, este împiedicată utilizarea punctelor de colectare stabilite și/sau accesul autovehiculelor destinate transportului deșeurilor municipale și/sau al oricărui alt tip de deșeu, operatorii, pe baza notificării transmise de autoritatea administrației publice locale, trebuie să anunțe utilizatorii cu cel puțin 5 zile înainte despre situația intervenită, durata acesteia, punctele de colectare care se utilizează în această perioadă și programul de colectare.</w:t>
      </w:r>
    </w:p>
    <w:p>
      <w:pPr>
        <w:numPr>
          <w:ilvl w:val="0"/>
          <w:numId w:val="52"/>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 xml:space="preserve"> Pe toată această perioadă operatoriiau obligația să doteze punctele de colectare care vor fi folosite de utilizatorii afectați cu capacități de precolectare suficiente și să reducă intervalul între două colectări succesive, dacă este cazul.</w:t>
      </w:r>
    </w:p>
    <w:p>
      <w:pPr>
        <w:numPr>
          <w:ilvl w:val="0"/>
          <w:numId w:val="52"/>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Încazul apariției unor intemperii ce au ca efect întreruperea serviciului sau diminuarea cantităților contractate de la utilizatori, operatorii au obligația să anunțe această situație și să factureze numai cantitățile sau serviciile efectiv realizate.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3"/>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Deșeurile reciclabile colectate separat vor fi supuse procesului de sortare în stația de sortare existente la CMID Lupac</w:t>
      </w:r>
    </w:p>
    <w:p>
      <w:pPr>
        <w:numPr>
          <w:ilvl w:val="0"/>
          <w:numId w:val="53"/>
        </w:numPr>
        <w:shd w:val="clear" w:color="auto" w:fill="FFFFFF"/>
        <w:spacing w:after="240" w:line="276" w:lineRule="auto"/>
        <w:jc w:val="both"/>
        <w:rPr>
          <w:rFonts w:ascii="Verdana" w:hAnsi="Verdana" w:cs="Verdana"/>
          <w:sz w:val="20"/>
          <w:szCs w:val="20"/>
          <w:lang w:val="ro-RO"/>
        </w:rPr>
      </w:pPr>
      <w:r>
        <w:rPr>
          <w:rFonts w:ascii="Verdana" w:hAnsi="Verdana" w:cs="Verdana"/>
          <w:sz w:val="20"/>
          <w:szCs w:val="20"/>
          <w:lang w:val="ro-RO"/>
        </w:rPr>
        <w:t>Se interzice operatorilor licențiați încredințarea la depozitare a fracției valorificabile colectate separat la sursă.Este interzisăeliminarea deșeurilor reciclabile colectate separat.</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Agenții economici producători de deșeuri, precum și agenții economici specializați în conceperea și proiectarea activităților tehnologice ce pot genera deșeuri au următoarele obligații:</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adopte, încă de la faza de concepție și proiectare a unui produs, soluțiile și tehnologiile de eliminare sau de diminuare la minimum posibil a producerii deșeurilor;</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ia masurile necesare de reducere la minimum a cantităților de deșeuri rezultate din activitățile existente;</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amestece deșeurile periculoase cu deșeuri nepericuloase;</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genereze fenomene de poluare prin descărcări necontrolate de deșeuri în mediu;</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ia măsurile necesare astfel încât eliminarea deșeurilor să se facă în condiții de respectare a reglementarilor privind protecția populației, a mediului și a prezentului regulament;</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abandoneze deșeurile și să nu le depoziteze în locuri neautorizate;</w:t>
      </w:r>
    </w:p>
    <w:p>
      <w:pPr>
        <w:numPr>
          <w:ilvl w:val="0"/>
          <w:numId w:val="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separe deșeurile înainte de colectare, în vederea valorificării sau eliminării acestora.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Operatorii care asigură activitatea de colectare și transport a deșeurilor au și următoarele obligații:</w:t>
      </w:r>
    </w:p>
    <w:p>
      <w:pPr>
        <w:numPr>
          <w:ilvl w:val="0"/>
          <w:numId w:val="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dețină toate documentele necesare de însoțire a deșeurilor transportate, din care să rezulte utilizatorul/utilizatorii, destinatarul, tipurile de deșeuri, locul de încărcare, locul de destinație și, după caz, cantitatea de deșeuri transportate și codificarea acestora conform legii;</w:t>
      </w:r>
    </w:p>
    <w:p>
      <w:pPr>
        <w:numPr>
          <w:ilvl w:val="0"/>
          <w:numId w:val="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abandoneze deșeuri pe traseu și să le ridice în totalitate pe cele ale utilizatorilor sau pe cele existente pe traseul de colectare și transport, cu excepția celor periculoase care nu sunt înglobate în deșeurile municipale;</w:t>
      </w:r>
    </w:p>
    <w:p>
      <w:pPr>
        <w:numPr>
          <w:ilvl w:val="0"/>
          <w:numId w:val="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folosească traseele cele mai scurte și/sau cu cel mai redus risc pentru sănătatea populației și a mediului, care au fost sau vor fii aprobate de autoritățile administrației publice locale;</w:t>
      </w:r>
    </w:p>
    <w:p>
      <w:pPr>
        <w:numPr>
          <w:ilvl w:val="0"/>
          <w:numId w:val="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împreună cu autoritățile administrațiilor publice locale și cu ADI INTERCOMDEȘEURI CARAȘ SEVERINsă informeze și să conștientizeze populația privind colectarea separată a deșeurilor, precum și privind modalitățile de prevenire a generării deșeurilor. Informarea și conștientizarea populației se va realiza în cadrul campaniilor de informare și conștientizare, prin distribuția de pliante, broșuri, afișe, </w:t>
      </w:r>
      <w:bookmarkStart w:id="26" w:name="_Hlk14163681"/>
      <w:r>
        <w:rPr>
          <w:rFonts w:ascii="Verdana" w:hAnsi="Verdana" w:cs="Verdana"/>
          <w:sz w:val="20"/>
          <w:szCs w:val="20"/>
          <w:lang w:val="ro-RO"/>
        </w:rPr>
        <w:t>prin clipuri publicitare la radio și TV, prin activități educative etc.</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xml:space="preserve">După colectare, </w:t>
      </w:r>
      <w:bookmarkEnd w:id="26"/>
      <w:r>
        <w:rPr>
          <w:rFonts w:ascii="Verdana" w:hAnsi="Verdana" w:cs="Verdana"/>
          <w:sz w:val="20"/>
          <w:szCs w:val="20"/>
          <w:lang w:val="ro-RO"/>
        </w:rPr>
        <w:t xml:space="preserve">deşeurile municipale reciclabile vor fi supuse procesului de sortare în staţia de sortare, iar deșeurile municipale reziduale (conținând și bio-deșeuri), colectate din cele 6 zone de colectare, vor fi supuse procesului de tratare în instalația de TMB Lupac. Resturile rezultate după sortarea și tratarea deșeurilor municipal vor fi depozitate la depozitul conform de la Lupac. </w:t>
      </w: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Transferul deșeurilor municipale de la cele 5 stații de transfer (Bozovici, Pojejena, Oțelu Roșu, Oravița și Băile Herculane) la facilitățile din CMID Lupac (depozit conform, stație TMB și stație de sortare) se va face de către operatorul de salubrizare care va opera cele 5 stații de transfer și CMID Lupac, desemnat prin procedura de achiziție publică;</w:t>
      </w: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Transferul deșeurilor municipale se va efectua în containere de tablă, cu capacități diferite, adecvate fiecărei fracții de deșeu transferat. Fiecare stație de transfer va fi dotată cu următoarele echipamente de transfer:</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stația de transfer Bozovici: 3 prescontainere pentru transfer deșeuri municipale (1 pentru fracție umedă reziduală și 2 pentru fracțiile reciclabile H&amp;C și P&amp;M), 1 container pentru deșeuri voluminoase, 1 container pentru deșeuri periculoase și 1 container pentru deșeuri EEE;</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xml:space="preserve">- stația de transfer Pojejena: 4 prescontainere pentru transfer deșeuri municipale(2 pentru fracție umedă reziduală și 2 pentru fracțiile reciclabile H&amp;C și P&amp;M), 3 </w:t>
      </w:r>
      <w:r>
        <w:rPr>
          <w:rFonts w:ascii="Verdana" w:hAnsi="Verdana" w:cs="Verdana"/>
          <w:sz w:val="20"/>
          <w:szCs w:val="20"/>
          <w:lang w:val="ro-RO"/>
        </w:rPr>
        <w:lastRenderedPageBreak/>
        <w:t>containere pentru deșeuri voluminoase, 1 container pentru deșeuri periculoase și 1 container pentru deșeuri EEE;</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stația de transfer Oțelu Roșu: 4 prescontainere pentru transfer deșeuri municipale (2 pentru fracție umedă reziduală și 2 pentru fracțiile reciclabile H&amp;C și P&amp;M), 3 containere pentru deșeuri voluminoase și 1 container pentru deșeuri periculoase 1 container pentru deșeuri EEE;</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stația de transfer Oravița: 4 prescontainere pentru transfer deșeuri municipale (1 pentru fracție umedă reziduală și 3 pentru fracții reciclabile), 2 containere pentru deșeuri voluminoase, 1 container pentru deșeuri periculoase și 1 container pentru deșeuri EEE;</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stația de transfer Băile Herculane: 4 prescontainere pentru transfer deșeuri municipale (2 pentru fracție umedă reziduală și 2 pentru fracțiile reciclabile H&amp;C și P&amp;M),2 containere pentru deșeuri voluminoase, 1 container pentru deșeuri periculoase și 1 container pentru deșeuri EEE;</w:t>
      </w:r>
    </w:p>
    <w:p>
      <w:p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xml:space="preserve">- în cadrul tuturor stațiilor de transfer și în cadrul CMID Lupac se va asigura spațiu pentru depozitarea temporară a deșeurilor de sticlă, precum și a deșeurilor din construcții și desființăriprovenite de la populație. Asigurarea containerelor necesare acestei fracții se va face fie de către operator, fie de către valorificatorii acestor tipuri de deșeuri. Se interzice depozitarea temporară în spațiile menționate mai sus a deșeurilor de construcții și desființări provenite de la societăți, instituții sau alte întreprinderi comerciale.  </w:t>
      </w: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 xml:space="preserve">Containerele, odată umplute, vor fi transportate de către operatorul de salubrizare desemnat să opereze stațiile de transfer fie la CMID Lupac, fie la alte societăți (care procesează/valorifică/neutralizează diverse fracții de deșeuri) cu ajutorul unor mijloace de transport adecvate acestui tip de containere; </w:t>
      </w: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Containerele de transfer sunt asigurate atât de către Delegatar, cât și de Delegat, în conformitate cu cerințele caietului de sarcini și contractului de delegare.</w:t>
      </w:r>
    </w:p>
    <w:p>
      <w:pPr>
        <w:numPr>
          <w:ilvl w:val="0"/>
          <w:numId w:val="44"/>
        </w:numPr>
        <w:autoSpaceDE w:val="0"/>
        <w:autoSpaceDN w:val="0"/>
        <w:adjustRightInd w:val="0"/>
        <w:spacing w:after="240" w:line="276" w:lineRule="auto"/>
        <w:ind w:left="357"/>
        <w:jc w:val="both"/>
        <w:rPr>
          <w:rFonts w:ascii="Verdana" w:hAnsi="Verdana" w:cs="Verdana"/>
          <w:sz w:val="20"/>
          <w:szCs w:val="20"/>
          <w:lang w:val="ro-RO"/>
        </w:rPr>
      </w:pPr>
      <w:r>
        <w:rPr>
          <w:rFonts w:ascii="Verdana" w:hAnsi="Verdana" w:cs="Verdana"/>
          <w:sz w:val="20"/>
          <w:szCs w:val="20"/>
          <w:lang w:val="ro-RO"/>
        </w:rPr>
        <w:t>Este interzisă depozitarea deşeurilor municipale la Depozitul Ecologic Lupac, fără sortarea/tratarea lor prealabilă (cu excepţia deşeurilor reziduale admise la depozitare, respectând limita maximă admisă pentru anii 2013 şi 2016).</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4"/>
        </w:numPr>
        <w:autoSpaceDE w:val="0"/>
        <w:autoSpaceDN w:val="0"/>
        <w:adjustRightInd w:val="0"/>
        <w:spacing w:after="240" w:line="276" w:lineRule="auto"/>
        <w:ind w:left="360"/>
        <w:jc w:val="both"/>
        <w:rPr>
          <w:rFonts w:ascii="Verdana" w:hAnsi="Verdana" w:cs="Verdana"/>
          <w:sz w:val="20"/>
          <w:szCs w:val="20"/>
          <w:lang w:val="ro-RO"/>
        </w:rPr>
      </w:pPr>
      <w:r>
        <w:rPr>
          <w:rFonts w:ascii="Verdana" w:hAnsi="Verdana" w:cs="Verdana"/>
          <w:sz w:val="20"/>
          <w:szCs w:val="20"/>
          <w:lang w:val="ro-RO"/>
        </w:rPr>
        <w:t xml:space="preserve">Depozitarea temporară în stațiile de transfer și sortare a deșeurilor municipale poate fi de maximum 24 ore în stațiile de transfer. </w:t>
      </w:r>
    </w:p>
    <w:p>
      <w:pPr>
        <w:numPr>
          <w:ilvl w:val="0"/>
          <w:numId w:val="54"/>
        </w:numPr>
        <w:autoSpaceDE w:val="0"/>
        <w:autoSpaceDN w:val="0"/>
        <w:adjustRightInd w:val="0"/>
        <w:spacing w:after="240" w:line="276" w:lineRule="auto"/>
        <w:ind w:left="360"/>
        <w:jc w:val="both"/>
        <w:rPr>
          <w:rFonts w:ascii="Verdana" w:hAnsi="Verdana" w:cs="Verdana"/>
          <w:sz w:val="20"/>
          <w:szCs w:val="20"/>
          <w:lang w:val="ro-RO"/>
        </w:rPr>
      </w:pPr>
      <w:r>
        <w:rPr>
          <w:rFonts w:ascii="Verdana" w:hAnsi="Verdana" w:cs="Verdana"/>
          <w:sz w:val="20"/>
          <w:szCs w:val="20"/>
          <w:lang w:val="ro-RO"/>
        </w:rPr>
        <w:t>Se interzice amestecarea deșeurilor în scopul de a satisface criteriile de acceptare la o anumită clasă de depozitare.</w:t>
      </w:r>
    </w:p>
    <w:p>
      <w:pPr>
        <w:numPr>
          <w:ilvl w:val="0"/>
          <w:numId w:val="54"/>
        </w:numPr>
        <w:autoSpaceDE w:val="0"/>
        <w:autoSpaceDN w:val="0"/>
        <w:adjustRightInd w:val="0"/>
        <w:spacing w:after="240" w:line="276" w:lineRule="auto"/>
        <w:ind w:left="360"/>
        <w:jc w:val="both"/>
        <w:rPr>
          <w:rFonts w:ascii="Verdana" w:hAnsi="Verdana" w:cs="Verdana"/>
          <w:sz w:val="20"/>
          <w:szCs w:val="20"/>
          <w:lang w:val="ro-RO"/>
        </w:rPr>
      </w:pPr>
      <w:r>
        <w:rPr>
          <w:rFonts w:ascii="Verdana" w:hAnsi="Verdana" w:cs="Verdana"/>
          <w:sz w:val="20"/>
          <w:szCs w:val="20"/>
          <w:lang w:val="ro-RO"/>
        </w:rPr>
        <w:t xml:space="preserve">Operatorii de salubrizare care prestează activități de colectare și transport al deșeurilor municipale vor depune aceste deșeuri numai la stațiile de transfer și la Centrul de Management Integrat al Deșeurilor de la Lupac, aparținând Sistemului de Management Integrat al Deşeurilor din judeţul Caraș-Severin, facilități indicate în </w:t>
      </w:r>
      <w:r>
        <w:rPr>
          <w:rFonts w:ascii="Verdana" w:hAnsi="Verdana" w:cs="Verdana"/>
          <w:sz w:val="20"/>
          <w:szCs w:val="20"/>
          <w:lang w:val="ro-RO"/>
        </w:rPr>
        <w:lastRenderedPageBreak/>
        <w:t>autorizația de mediu, conform contractului de delegare a gestiunii serviciului de salubrizare.</w:t>
      </w:r>
    </w:p>
    <w:p>
      <w:pPr>
        <w:numPr>
          <w:ilvl w:val="0"/>
          <w:numId w:val="54"/>
        </w:numPr>
        <w:autoSpaceDE w:val="0"/>
        <w:autoSpaceDN w:val="0"/>
        <w:adjustRightInd w:val="0"/>
        <w:spacing w:after="240" w:line="276" w:lineRule="auto"/>
        <w:ind w:left="360"/>
        <w:jc w:val="both"/>
        <w:rPr>
          <w:rFonts w:ascii="Verdana" w:hAnsi="Verdana" w:cs="Verdana"/>
          <w:sz w:val="20"/>
          <w:szCs w:val="20"/>
          <w:lang w:val="ro-RO"/>
        </w:rPr>
      </w:pPr>
      <w:r>
        <w:rPr>
          <w:rFonts w:ascii="Verdana" w:hAnsi="Verdana" w:cs="Verdana"/>
          <w:sz w:val="20"/>
          <w:szCs w:val="20"/>
          <w:lang w:val="ro-RO"/>
        </w:rPr>
        <w:t xml:space="preserve">Operatorul depozitului are obligația să raporteze lunar Consiliului Județean Caraș-Severin (prin Unitatea de Management a Proiectului) și către ADI INTERCOMDEȘEURI tipurile și cantitățile de deșeuri eliminate și rezultatele programului de monitorizare.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5"/>
        </w:numPr>
        <w:autoSpaceDE w:val="0"/>
        <w:autoSpaceDN w:val="0"/>
        <w:adjustRightInd w:val="0"/>
        <w:spacing w:after="240" w:line="276" w:lineRule="auto"/>
        <w:ind w:left="426" w:hanging="426"/>
        <w:jc w:val="both"/>
        <w:rPr>
          <w:rFonts w:ascii="Verdana" w:hAnsi="Verdana" w:cs="Verdana"/>
          <w:sz w:val="20"/>
          <w:szCs w:val="20"/>
          <w:lang w:val="ro-RO"/>
        </w:rPr>
      </w:pPr>
      <w:r>
        <w:rPr>
          <w:rFonts w:ascii="Verdana" w:hAnsi="Verdana" w:cs="Verdana"/>
          <w:sz w:val="20"/>
          <w:szCs w:val="20"/>
          <w:lang w:val="ro-RO"/>
        </w:rPr>
        <w:t>În zonele pilot unde se va realiza precolectarea separată a deșeurilor biodegradabile la sursă, gospodăriile individuale vor fi dotate cu containere de compostare individuală (home-compostere). Zonele pilot vor fii stabilite ulterior de către UAT-uri.</w:t>
      </w:r>
    </w:p>
    <w:p>
      <w:pPr>
        <w:numPr>
          <w:ilvl w:val="0"/>
          <w:numId w:val="55"/>
        </w:numPr>
        <w:autoSpaceDE w:val="0"/>
        <w:autoSpaceDN w:val="0"/>
        <w:adjustRightInd w:val="0"/>
        <w:spacing w:after="240" w:line="276" w:lineRule="auto"/>
        <w:ind w:left="426" w:hanging="426"/>
        <w:jc w:val="both"/>
        <w:rPr>
          <w:rFonts w:ascii="Verdana" w:hAnsi="Verdana" w:cs="Verdana"/>
          <w:sz w:val="20"/>
          <w:szCs w:val="20"/>
          <w:lang w:val="ro-RO"/>
        </w:rPr>
      </w:pPr>
      <w:r>
        <w:rPr>
          <w:rFonts w:ascii="Verdana" w:hAnsi="Verdana" w:cs="Verdana"/>
          <w:sz w:val="20"/>
          <w:szCs w:val="20"/>
          <w:lang w:val="ro-RO"/>
        </w:rPr>
        <w:t xml:space="preserve">Începând cu anul 2020, 65% din cantitatea de biodeșeuri generate în județul Caraș-Severin trebuie deviată de la depozitare și tratată fie în gospodăriile individuale, fie într-o stație de tratare centralizată. Consiliul județean Caraș-Severin și ADI-INTERCOM DEȘEURI vor lua măsuri și vor intensifica eforturile pentru implementarea home-compostingului, ca metodă de tratare a bio-deșeurilor, în majoritatea localităților din mediul rural. </w:t>
      </w:r>
    </w:p>
    <w:p>
      <w:pPr>
        <w:autoSpaceDE w:val="0"/>
        <w:autoSpaceDN w:val="0"/>
        <w:adjustRightInd w:val="0"/>
        <w:spacing w:after="240" w:line="276" w:lineRule="auto"/>
        <w:ind w:firstLine="357"/>
        <w:jc w:val="both"/>
        <w:rPr>
          <w:rFonts w:ascii="Verdana" w:hAnsi="Verdana" w:cs="Verdana"/>
          <w:sz w:val="20"/>
          <w:szCs w:val="20"/>
          <w:lang w:val="ro-RO"/>
        </w:rPr>
      </w:pPr>
    </w:p>
    <w:p>
      <w:pPr>
        <w:pStyle w:val="Heading2"/>
        <w:spacing w:before="0" w:after="240" w:line="276" w:lineRule="auto"/>
        <w:rPr>
          <w:rFonts w:ascii="Verdana" w:hAnsi="Verdana" w:cs="Verdana"/>
          <w:i w:val="0"/>
          <w:iCs w:val="0"/>
          <w:sz w:val="24"/>
          <w:szCs w:val="24"/>
          <w:lang w:val="ro-RO"/>
        </w:rPr>
      </w:pPr>
      <w:bookmarkStart w:id="27" w:name="_Toc180478983"/>
      <w:bookmarkStart w:id="28" w:name="_Toc180479032"/>
      <w:bookmarkStart w:id="29" w:name="_Toc340647371"/>
      <w:bookmarkStart w:id="30" w:name="_Toc41469110"/>
      <w:r>
        <w:rPr>
          <w:rFonts w:ascii="Verdana" w:hAnsi="Verdana" w:cs="Verdana"/>
          <w:i w:val="0"/>
          <w:iCs w:val="0"/>
          <w:sz w:val="24"/>
          <w:szCs w:val="24"/>
          <w:lang w:val="ro-RO"/>
        </w:rPr>
        <w:t>SECȚIUNEA 2</w:t>
      </w:r>
      <w:r>
        <w:rPr>
          <w:rFonts w:ascii="Verdana" w:hAnsi="Verdana" w:cs="Verdana"/>
          <w:i w:val="0"/>
          <w:iCs w:val="0"/>
          <w:sz w:val="24"/>
          <w:szCs w:val="24"/>
          <w:lang w:val="ro-RO"/>
        </w:rPr>
        <w:tab/>
        <w:t>Sortarea deșeurilor</w:t>
      </w:r>
      <w:bookmarkEnd w:id="27"/>
      <w:bookmarkEnd w:id="28"/>
      <w:r>
        <w:rPr>
          <w:rFonts w:ascii="Verdana" w:hAnsi="Verdana" w:cs="Verdana"/>
          <w:i w:val="0"/>
          <w:iCs w:val="0"/>
          <w:sz w:val="24"/>
          <w:szCs w:val="24"/>
          <w:lang w:val="ro-RO"/>
        </w:rPr>
        <w:t xml:space="preserve"> municipale colectate separat</w:t>
      </w:r>
      <w:bookmarkEnd w:id="29"/>
      <w:bookmarkEnd w:id="30"/>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Înconformitate cu cerințele din actele normative în vigoare și Contractul de Finanțare al SMID Caraș-Severin, Consiliile locale și Consiliul județean Caraș-Severin, precum și ADI INTERCOM DEȘEURI (constituită în acest scop) au obligaţia să organizeze, să gestioneze şi să coordoneze activitatea de colectare separată a fracțiilor de deşeuri reciclabile (inclusiv de ambalaje) de la populaţie, prin serviciul public de salubrizare, potrivit dispoziţiilor Legii serviciului de salubrizare a localităţilor nr. 101/2006, astfel încât să se obţină cel puţin 4 fracţii, respectiv hârtie/carton, plastic, metal şi sticlă, în vederea îndeplinirii prevederilor din planul judeţean de gestionare a deşeurilor, și asigurând atingerea țintelor globale de reciclare/valorificare asumate de către acestea. </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Toate fracțiile de deșeuri reciclabile colectate separat din cele 6 zone de colectare, se vor  transporta direct sau prin transfer, la stația de sortare  Lupac. </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Staţia de sortare Lupac are capacitatea de a primi  6 zile pe săptămână fracții de deșeuri/materiale reciclabile, (hârtie&amp;carton, plastic, sticlă şi metal) care sunt sortate separat, de pe banda de sortare ieșind 10 fracții de deșeuri reciclabile ce pot fi valorificate (3 de hârtie&amp;carton, 5 de plastic, 2 de metale). </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Stația de sortare Lupac va funcționa în conformitate cu prevederile cuprinse în autorizația de mediu și va respecta cerințele Manualului de operare.</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Operatorul care are în administrare staţia de sortare va preda fracțiile de deșeuri reciclabile obținute în urma sortării, prin vânzarea lor la societățile specializate/autorizate pentru valorificarea lor.  </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 xml:space="preserve">Operatorul care are în administrare staţia de sortare, precum și operatorii ce asigură colectarea deșeurilor din zonele de colectare, împreună cu autorităţile administraţiei publice locale, respectiv Consiliile locale și Consiliul județean Caraș-Severin și ADI INTERCOM DEȘEURI vor efectua anual campanii de conștientizare și vor lua măsuri pentru informarea, responsabilizarea și educarea generatorilor de deșeuri cu privire la necesitatea preselectării şi valorificării materialelor recuperabile, prin toate mijloacele pe care le au la îndemână: mass-media scrisă şi audiovizuală, broşuri, afişe, inclusiv în şcoli. </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Toate deșeurile de hârtie și carton, precum și deșeurile de plastic, și metal și sticlă colectate separat de la utilizatorii casnici și utilizatorii non-casnicide pe teritoriul județului Caraș Severin vor fi sortate în stația de sortare existentă</w:t>
      </w:r>
    </w:p>
    <w:p>
      <w:pPr>
        <w:numPr>
          <w:ilvl w:val="0"/>
          <w:numId w:val="4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Modalitatea de valorificare a materialelor sortate este stabilită de către ADI INTERCOM DEȘEURI CARAȘ SEVERIN, împreună cu operatorul stațiilor de Sortare.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de sticlă colectate separat de la utilizatorii casnici și utilizatorii non-casnici vor fi transportate de către operatorii de colectare și transport laspațiile de stocare temporară, special amenajate în incinta fiecărei stații de transfer, respectiv în incinta stației de sortare.</w:t>
      </w:r>
    </w:p>
    <w:p>
      <w:pPr>
        <w:numPr>
          <w:ilvl w:val="0"/>
          <w:numId w:val="5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stațiilor de transfer și ai stației de sortare asigură predarea către reciclatori a deșeurilor de sticlă colectate separat.</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Operatorul care asigură activitatea de sortare a deşeurilor are următoarele obligaţii specifice:</w:t>
      </w:r>
    </w:p>
    <w:p>
      <w:pPr>
        <w:numPr>
          <w:ilvl w:val="0"/>
          <w:numId w:val="10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să deţină  spații suficiente  special amenajate pentru depozitarea temporară a fracțiilor de deșeuri reciclabile ce trebuie să intre pe linia de sortare pentru cel puțin 3 zile și spații destinate depozitării temporare a deşeurilor reciclabile balotate (după sortare) în vederea predării spre valorificare;, </w:t>
      </w:r>
    </w:p>
    <w:p>
      <w:pPr>
        <w:numPr>
          <w:ilvl w:val="0"/>
          <w:numId w:val="10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evite formarea de stocuri de deşeuri ce urmează să fie valorificate, precum şi de produse rezultate în urma valorificării, care ar putea genera fenomene de poluare a mediului sau care prezintă riscuri de incendiu faţă de vecinătăţi;</w:t>
      </w:r>
    </w:p>
    <w:p>
      <w:pPr>
        <w:numPr>
          <w:ilvl w:val="0"/>
          <w:numId w:val="10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se îngrijească și să asigure  depozitarea reziduurilor rezultate din procesul de sortare (refuzul de sortare) a deşeurilor la depozitul conform de la Lupac.</w:t>
      </w:r>
    </w:p>
    <w:p>
      <w:pPr>
        <w:numPr>
          <w:ilvl w:val="0"/>
          <w:numId w:val="10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sa respecte în totalitate prevederile cuprinse în autorizația de mediu, în Manualul de operare și din orice altă reglementare din domeniu.</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Spațiile în care se va desfășura activitatea de sortare înSTAȚIA DE SORTARE LUPAC vor dispune de următoarele facilități:</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platformă betonată cu o suprafaţă suficientă pentru primirea deşeurilor şi pentru depozitarea temporară a materialelor reciclabile;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cântar electronic de cântărire a autovehiculelor şi cu verificarea metrologică în termenul de valabilitate;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sistem de colectare a apelor uzate rezultate din apa pluvială sau din procesul tehnologic de sortare şi spălare;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instalaţie de spălare şi dezinfectare;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puncte de prelevare a probelor apelor uzate colectate;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spațiu de depozitarea temporară, separată, a fiecărui tip de deşeu sortat;</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posibilitate de acces în fiecare zonă a depozitului, fără a exista posibilitatea de contaminare reciprocă a diferitelor tipuri de deşeuri;</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grupuri sanitare şi vestiare conform normativelor în vigoare;</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instalaţie de iluminat corespunzătoare, care să asigure lumina necesară desfășurării activităţii în orice perioadă a zilei;</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instalaţii de detecţie şi de stins incendiul;</w:t>
      </w:r>
    </w:p>
    <w:p>
      <w:pPr>
        <w:numPr>
          <w:ilvl w:val="0"/>
          <w:numId w:val="4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instalaţii de presare şi balotare pentru diferite tipuri de materiale reciclabile.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Apele uzate rezultate din activitatea stației de sortare vor fi evacuate în stația de epurare a levigatului care funcționează pe amplasamentul CMID Lupac. Se interzice deversarea apelor uzate rezultate din activitatea stației de sortare în altă rețea de canalizare sau în emisar natural, fără epurare prealabilă.</w:t>
      </w:r>
    </w:p>
    <w:p>
      <w:pPr>
        <w:spacing w:after="240" w:line="276" w:lineRule="auto"/>
        <w:rPr>
          <w:rFonts w:ascii="Verdana" w:hAnsi="Verdana" w:cs="Verdana"/>
          <w:sz w:val="20"/>
          <w:szCs w:val="20"/>
          <w:lang w:val="ro-RO"/>
        </w:rPr>
      </w:pPr>
      <w:bookmarkStart w:id="31" w:name="_Toc180478984"/>
      <w:bookmarkStart w:id="32" w:name="_Toc180479033"/>
      <w:bookmarkStart w:id="33" w:name="_Toc340647372"/>
    </w:p>
    <w:p>
      <w:pPr>
        <w:pStyle w:val="Heading2"/>
        <w:spacing w:before="0" w:after="240" w:line="276" w:lineRule="auto"/>
        <w:ind w:left="2160" w:hanging="2160"/>
        <w:jc w:val="both"/>
        <w:rPr>
          <w:rFonts w:ascii="Verdana" w:hAnsi="Verdana" w:cs="Verdana"/>
          <w:i w:val="0"/>
          <w:iCs w:val="0"/>
          <w:sz w:val="24"/>
          <w:szCs w:val="24"/>
          <w:lang w:val="ro-RO"/>
        </w:rPr>
      </w:pPr>
      <w:bookmarkStart w:id="34" w:name="_Toc41469111"/>
      <w:r>
        <w:rPr>
          <w:rFonts w:ascii="Verdana" w:hAnsi="Verdana" w:cs="Verdana"/>
          <w:i w:val="0"/>
          <w:iCs w:val="0"/>
          <w:sz w:val="24"/>
          <w:szCs w:val="24"/>
          <w:lang w:val="ro-RO"/>
        </w:rPr>
        <w:t>SECȚIUNEA 3</w:t>
      </w:r>
      <w:bookmarkEnd w:id="31"/>
      <w:bookmarkEnd w:id="32"/>
      <w:r>
        <w:rPr>
          <w:rFonts w:ascii="Verdana" w:hAnsi="Verdana" w:cs="Verdana"/>
          <w:i w:val="0"/>
          <w:iCs w:val="0"/>
          <w:sz w:val="24"/>
          <w:szCs w:val="24"/>
          <w:lang w:val="ro-RO"/>
        </w:rPr>
        <w:tab/>
        <w:t>Organizarea prelucrării, neutralizării și valorificării materiale și energetice a deșeurilor</w:t>
      </w:r>
      <w:bookmarkEnd w:id="33"/>
      <w:bookmarkEnd w:id="34"/>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Indiferent de natura deşeurilor, acestea vor fi supuse unui proces de prelucrare, neutralizare şi valorificare materială şi/sau energetică.</w:t>
      </w:r>
    </w:p>
    <w:p>
      <w:pPr>
        <w:numPr>
          <w:ilvl w:val="0"/>
          <w:numId w:val="5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serviciului de salubrizare trebuie să organizeze activitatea de prelucrare şi neutralizare a deşeurilor, în așa fel încât să se atingă țintele asumate de România pentru anul 2020, de deviere de la depozitare a 65% din bio-deșeurile generate.</w:t>
      </w:r>
    </w:p>
    <w:p>
      <w:pPr>
        <w:numPr>
          <w:ilvl w:val="0"/>
          <w:numId w:val="5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Valorificarea materială și energetică a deșeurilor reprezintă una din prioritățile sistemului integrat de management al deșeurilor implementat în județul Caraș Severin.</w:t>
      </w:r>
    </w:p>
    <w:p>
      <w:pPr>
        <w:numPr>
          <w:ilvl w:val="0"/>
          <w:numId w:val="5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Operatorii serviciului de salubrizare (operatorii de colectare și transport și operatorii instalațiilor de gestionare a deșeurilor) trebuie să-și organizeze activitatea astfel încât să se asigure un grad cât mai mare de valorificare a deșeurilor municipale.</w:t>
      </w:r>
    </w:p>
    <w:p>
      <w:pPr>
        <w:numPr>
          <w:ilvl w:val="0"/>
          <w:numId w:val="5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Metodele și tehnologiile de valorificare a deșeurilor trebuiesărespecte legislația în vigoare, să fie în concordanță cu planurile de gestionare ale deșeurilor la nivel național, regional și județean și cu prevederile Master Planului și Studiului de Fezabilitate privind Sistemul Integrat de Management al deșeurilor în județul Caraș Severin.</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reziduale (colectate în amestec cu deșeurile bio-deșeuri) din cele 6 zone sunt transportate și tratate în cadrul instalației de tratare mecano-biologică Lupac.</w:t>
      </w:r>
    </w:p>
    <w:p>
      <w:pPr>
        <w:numPr>
          <w:ilvl w:val="0"/>
          <w:numId w:val="5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verzi (deșeuri din parcuri, grădini și cimitire) colectate din cele 6 zone sunt compostate în cadrul instalației de tratare mecano-biologică Lupac (în celule speciale).</w:t>
      </w:r>
    </w:p>
    <w:p>
      <w:pPr>
        <w:numPr>
          <w:ilvl w:val="0"/>
          <w:numId w:val="5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Instalația de tratare mecano-biologică Lupac are capacitatea de a trata 63.869 t de deșeuri reziduale, dispune de 13 celule și este operată astfel încât  deșeurile reziduale (colectate în amestec cu deșeurile bio-deșeuri) să fie tratate din punct de vedere biologic, iar din deșeurile verzi săse obțină compost, care săîndeplinească condițiile de calitate pentru utilizarea sa în agricultură.</w:t>
      </w:r>
    </w:p>
    <w:p>
      <w:pPr>
        <w:numPr>
          <w:ilvl w:val="0"/>
          <w:numId w:val="5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Se va evita prezenţa deșeurilor periculoase sau substanțelor toxice, care pot altera calitatea produsului finit (compost sau CLO).</w:t>
      </w:r>
    </w:p>
    <w:p>
      <w:pPr>
        <w:numPr>
          <w:ilvl w:val="0"/>
          <w:numId w:val="5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Apele uzate rezultate din procesul de tratare biologică sunt colectate și evacuate în stația de epurare a levigatului care se află pe amplasamentul CMID Lupacșigestionate conform prevederilor din autorizațiile de gospodărire a apelor.</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5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Atât în cazul gospodăriilor individuale din mediul rural, cât și în cazul zonelor periurbane ale localităților din mediul urbaneste promovată compostarea individuală.</w:t>
      </w:r>
    </w:p>
    <w:p>
      <w:pPr>
        <w:numPr>
          <w:ilvl w:val="0"/>
          <w:numId w:val="5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Compostarea individuală se realizează la cel puțin 34 % din gospodăriile individuale din mediul rural.</w:t>
      </w:r>
    </w:p>
    <w:p>
      <w:pPr>
        <w:numPr>
          <w:ilvl w:val="0"/>
          <w:numId w:val="5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de colectare și transport împreună cu ADI INTERCOMDEȘEURI CARAȘ SEVERINși cu autoritățile publice locale realizează campanii intense de informare și conștientizare în vederea promovării compostării individuale.</w:t>
      </w:r>
    </w:p>
    <w:p>
      <w:pPr>
        <w:spacing w:after="240" w:line="276" w:lineRule="auto"/>
        <w:rPr>
          <w:rFonts w:ascii="Verdana" w:hAnsi="Verdana" w:cs="Verdana"/>
          <w:sz w:val="20"/>
          <w:szCs w:val="20"/>
          <w:lang w:val="ro-RO"/>
        </w:rPr>
      </w:pPr>
      <w:bookmarkStart w:id="35" w:name="_Toc180478985"/>
      <w:bookmarkStart w:id="36" w:name="_Toc180479034"/>
    </w:p>
    <w:p>
      <w:pPr>
        <w:pStyle w:val="Heading2"/>
        <w:spacing w:before="0" w:after="240" w:line="276" w:lineRule="auto"/>
        <w:jc w:val="both"/>
        <w:rPr>
          <w:rFonts w:ascii="Verdana" w:hAnsi="Verdana" w:cs="Verdana"/>
          <w:i w:val="0"/>
          <w:iCs w:val="0"/>
          <w:sz w:val="24"/>
          <w:szCs w:val="24"/>
          <w:lang w:val="ro-RO"/>
        </w:rPr>
      </w:pPr>
      <w:bookmarkStart w:id="37" w:name="_Toc340647373"/>
      <w:bookmarkStart w:id="38" w:name="_Toc41469112"/>
      <w:r>
        <w:rPr>
          <w:rFonts w:ascii="Verdana" w:hAnsi="Verdana" w:cs="Verdana"/>
          <w:i w:val="0"/>
          <w:iCs w:val="0"/>
          <w:sz w:val="24"/>
          <w:szCs w:val="24"/>
          <w:lang w:val="ro-RO"/>
        </w:rPr>
        <w:t>SECȚIUNEA 4</w:t>
      </w:r>
      <w:r>
        <w:rPr>
          <w:rFonts w:ascii="Verdana" w:hAnsi="Verdana" w:cs="Verdana"/>
          <w:i w:val="0"/>
          <w:iCs w:val="0"/>
          <w:sz w:val="24"/>
          <w:szCs w:val="24"/>
          <w:lang w:val="ro-RO"/>
        </w:rPr>
        <w:tab/>
        <w:t>Depozitarea controlată a deșeurilor municipale</w:t>
      </w:r>
      <w:bookmarkEnd w:id="35"/>
      <w:bookmarkEnd w:id="36"/>
      <w:bookmarkEnd w:id="37"/>
      <w:bookmarkEnd w:id="38"/>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Depozitarea deșeurilor municipale este permisănumai în depozite amenajate conform legislației și normelor tehnice în vigoare, și numai după obținerea acordurilor,avizelor și autorizațiilor prevăzute de legislație.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Autorizația de mediu eliberată de autoritatea competentă prevede cel puțin:</w:t>
      </w:r>
    </w:p>
    <w:p>
      <w:pPr>
        <w:numPr>
          <w:ilvl w:val="0"/>
          <w:numId w:val="1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tipul și cantitățile de deșeuri care urmează să fie eliminate;</w:t>
      </w:r>
    </w:p>
    <w:p>
      <w:pPr>
        <w:numPr>
          <w:ilvl w:val="0"/>
          <w:numId w:val="1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cerințele tehnice generale de operare a depozitului;</w:t>
      </w:r>
    </w:p>
    <w:p>
      <w:pPr>
        <w:numPr>
          <w:ilvl w:val="0"/>
          <w:numId w:val="1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monitorizarea factorilor de mediu.</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Următoarele deșeuri nu sunt acceptate în vederea depozitării:</w:t>
      </w:r>
    </w:p>
    <w:p>
      <w:pPr>
        <w:numPr>
          <w:ilvl w:val="0"/>
          <w:numId w:val="1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 lichide;</w:t>
      </w:r>
    </w:p>
    <w:p>
      <w:pPr>
        <w:numPr>
          <w:ilvl w:val="0"/>
          <w:numId w:val="1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 care, în condițiile existente în depozit, sunt explozive, corozive, oxidante, inflamabile sau puternic inflamabile;</w:t>
      </w:r>
    </w:p>
    <w:p>
      <w:pPr>
        <w:numPr>
          <w:ilvl w:val="0"/>
          <w:numId w:val="1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provenind din spitale sau alte medii clinice, medicale sau veterinare, care sunt definite ca infecțioase conform normativelor în vigoare;</w:t>
      </w:r>
    </w:p>
    <w:p>
      <w:pPr>
        <w:numPr>
          <w:ilvl w:val="0"/>
          <w:numId w:val="1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anvelope uzate întregi, cu excepția anvelopelor utilizate ca material de construcție în depozit;</w:t>
      </w:r>
    </w:p>
    <w:p>
      <w:pPr>
        <w:numPr>
          <w:ilvl w:val="0"/>
          <w:numId w:val="1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orice alt tip de deșeuri care nu îndeplinesc criteriile de acceptare stabilite în prezentul regulament și în actele normative în vigoare.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municipale pot fi stocate temporar în următoarele spații:</w:t>
      </w:r>
    </w:p>
    <w:p>
      <w:pPr>
        <w:numPr>
          <w:ilvl w:val="0"/>
          <w:numId w:val="1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la locul de producere;</w:t>
      </w:r>
    </w:p>
    <w:p>
      <w:pPr>
        <w:numPr>
          <w:ilvl w:val="0"/>
          <w:numId w:val="1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punctele de precolectare;</w:t>
      </w:r>
    </w:p>
    <w:p>
      <w:pPr>
        <w:numPr>
          <w:ilvl w:val="0"/>
          <w:numId w:val="1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stațiile de transfer;</w:t>
      </w:r>
    </w:p>
    <w:p>
      <w:pPr>
        <w:numPr>
          <w:ilvl w:val="0"/>
          <w:numId w:val="1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stațiade sortare;</w:t>
      </w:r>
    </w:p>
    <w:p>
      <w:pPr>
        <w:numPr>
          <w:ilvl w:val="0"/>
          <w:numId w:val="1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instalația de tratare mecano-biologică.</w:t>
      </w:r>
    </w:p>
    <w:p>
      <w:pPr>
        <w:numPr>
          <w:ilvl w:val="0"/>
          <w:numId w:val="6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Se interzice amestecarea deșeurilor în scopul de a satisface criteriile de acceptare la depozitare.</w:t>
      </w:r>
    </w:p>
    <w:p>
      <w:pPr>
        <w:numPr>
          <w:ilvl w:val="0"/>
          <w:numId w:val="6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Operatoriide salubrizare care prestează activități de colectare și transport al deșeurilor municipale vor transporta directsau prin intermediul stațiilor de transfer deșeurile reziduale colectate de pe teritoriul județului Caraș Severin la depozitul conform de la Lupac.</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Pentru a putea fi depozitate, deșeurile trebuie să îndeplinească condițiile necesare acceptării la un depozit clasa b. Condițiile de acceptare se stabilesc prin autorizația integrată de mediu de catre autoritatile abilitate, în conformitate cu dispozițiile actelor normative în vigoare.</w:t>
      </w:r>
      <w:r>
        <w:rPr>
          <w:rFonts w:ascii="Verdana" w:hAnsi="Verdana" w:cs="Verdana"/>
          <w:sz w:val="20"/>
          <w:szCs w:val="20"/>
          <w:lang w:val="ro-RO"/>
        </w:rPr>
        <w:tab/>
      </w:r>
    </w:p>
    <w:p>
      <w:pPr>
        <w:numPr>
          <w:ilvl w:val="0"/>
          <w:numId w:val="6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Criteriile de acceptare a deșeurilor se stabilesc pe baza analizei:</w:t>
      </w:r>
    </w:p>
    <w:p>
      <w:pPr>
        <w:numPr>
          <w:ilvl w:val="0"/>
          <w:numId w:val="1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măsurilor necesare pentru protecția  mediului și în special a apelor subterane și a apelor de suprafață;</w:t>
      </w:r>
    </w:p>
    <w:p>
      <w:pPr>
        <w:numPr>
          <w:ilvl w:val="0"/>
          <w:numId w:val="1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asigurării funcționării sistemelor de protecție a mediului, în special cele de impermeabilizare și de tratare a levigatului;</w:t>
      </w:r>
    </w:p>
    <w:p>
      <w:pPr>
        <w:numPr>
          <w:ilvl w:val="0"/>
          <w:numId w:val="1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protejării proceselor avute în vedere pentru stabilizarea deșeurilor în interiorul rampei;</w:t>
      </w:r>
    </w:p>
    <w:p>
      <w:pPr>
        <w:numPr>
          <w:ilvl w:val="0"/>
          <w:numId w:val="1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protecției împotriva pericolelor pentru sănătatea umană.</w:t>
      </w:r>
    </w:p>
    <w:p>
      <w:pPr>
        <w:numPr>
          <w:ilvl w:val="0"/>
          <w:numId w:val="6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Criteriile de acceptabilitate bazate pe proprietățile deșeurilor trebuie să cuprindă:</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cerințe referitoare la cunoașterea compoziției totale;</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limitări ale conținutului în materie organică al deșeurilor;</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cerințe sau limitări privind gradul de biodegradabilitate a componentelor deșeurilor organice;</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limitări ale cantității de componenți specificați, posibil dăunători/periculoși;</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limitări ale nivelului potențial și estimat al levigatului în cazul anumitor componenți, posibil dăunători/periculoși;</w:t>
      </w:r>
    </w:p>
    <w:p>
      <w:pPr>
        <w:numPr>
          <w:ilvl w:val="0"/>
          <w:numId w:val="1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proprietăți ecotoxicologice ale deșeurilor și ale levigatului rezultat.</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Învederea depozitării deșeurilor municipale, operatorii care prestează activitatea de transport al deșeurilor trebuie să aibă documentele necesare din care să reiasă că deșeurile respective pot fi acceptate pentru depozitare și că deșeurile respective îndeplinesc criteriile de acceptare stabilite în prezentul regulament și în actele cu caracter normativ în vigoare.</w:t>
      </w:r>
    </w:p>
    <w:p>
      <w:pPr>
        <w:pStyle w:val="Heading2"/>
        <w:spacing w:before="0" w:after="240" w:line="276" w:lineRule="auto"/>
        <w:jc w:val="both"/>
        <w:rPr>
          <w:rFonts w:ascii="Verdana" w:hAnsi="Verdana" w:cs="Verdana"/>
          <w:i w:val="0"/>
          <w:iCs w:val="0"/>
          <w:sz w:val="20"/>
          <w:szCs w:val="20"/>
          <w:lang w:val="ro-RO"/>
        </w:rPr>
      </w:pPr>
      <w:bookmarkStart w:id="39" w:name="_Toc180478986"/>
      <w:bookmarkStart w:id="40" w:name="_Toc180479035"/>
      <w:bookmarkStart w:id="41" w:name="_Toc340647374"/>
    </w:p>
    <w:p>
      <w:pPr>
        <w:pStyle w:val="Heading2"/>
        <w:spacing w:before="0" w:after="240" w:line="276" w:lineRule="auto"/>
        <w:jc w:val="both"/>
        <w:rPr>
          <w:rFonts w:ascii="Verdana" w:hAnsi="Verdana" w:cs="Verdana"/>
          <w:i w:val="0"/>
          <w:iCs w:val="0"/>
          <w:sz w:val="24"/>
          <w:szCs w:val="24"/>
          <w:lang w:val="ro-RO"/>
        </w:rPr>
      </w:pPr>
      <w:bookmarkStart w:id="42" w:name="_Toc41469113"/>
      <w:r>
        <w:rPr>
          <w:rFonts w:ascii="Verdana" w:hAnsi="Verdana" w:cs="Verdana"/>
          <w:i w:val="0"/>
          <w:iCs w:val="0"/>
          <w:sz w:val="24"/>
          <w:szCs w:val="24"/>
          <w:lang w:val="ro-RO"/>
        </w:rPr>
        <w:t>SECȚIUNEA 5</w:t>
      </w:r>
      <w:bookmarkEnd w:id="39"/>
      <w:bookmarkEnd w:id="40"/>
      <w:r>
        <w:rPr>
          <w:rFonts w:ascii="Verdana" w:hAnsi="Verdana" w:cs="Verdana"/>
          <w:i w:val="0"/>
          <w:iCs w:val="0"/>
          <w:sz w:val="24"/>
          <w:szCs w:val="24"/>
          <w:lang w:val="ro-RO"/>
        </w:rPr>
        <w:tab/>
        <w:t xml:space="preserve">Operarea depozitului conform </w:t>
      </w:r>
      <w:bookmarkEnd w:id="41"/>
      <w:r>
        <w:rPr>
          <w:rFonts w:ascii="Verdana" w:hAnsi="Verdana" w:cs="Verdana"/>
          <w:i w:val="0"/>
          <w:iCs w:val="0"/>
          <w:sz w:val="24"/>
          <w:szCs w:val="24"/>
          <w:lang w:val="ro-RO"/>
        </w:rPr>
        <w:t>de la Lupac</w:t>
      </w:r>
      <w:bookmarkEnd w:id="42"/>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Eliminarea deșeurilor reziduale menajere și similare asimilabile colectate de pe teritoriul județului Caraș Severin, precum și a deșeurilor reziduale rezultate în urma </w:t>
      </w:r>
      <w:r>
        <w:rPr>
          <w:rFonts w:ascii="Verdana" w:hAnsi="Verdana" w:cs="Verdana"/>
          <w:sz w:val="20"/>
          <w:szCs w:val="20"/>
          <w:lang w:val="ro-RO"/>
        </w:rPr>
        <w:lastRenderedPageBreak/>
        <w:t xml:space="preserve">procesului de sortare și tratare mecano-biologică se va realiza în depozitul conform de la Lupac. </w:t>
      </w:r>
    </w:p>
    <w:p>
      <w:pPr>
        <w:numPr>
          <w:ilvl w:val="0"/>
          <w:numId w:val="6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Depozitul de deșeuri de la Lupac are caracter zonal, deservind întreg județul Caraș Severin, și este autorizat în conformitate cu prevederile legale în vigoare.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Operarea depozitului se va realiza în condițiile respectării legislației în vigoare, în special a HG 349/2005 privind depozitarea deșeurilor și a Normativului tehnic privind depozitarea deșeurilor.</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La depozitare vor fi îndeplinite următoarele condiții:</w:t>
      </w:r>
    </w:p>
    <w:p>
      <w:pPr>
        <w:numPr>
          <w:ilvl w:val="0"/>
          <w:numId w:val="1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cursul operațiunilor de depozitare, autovehiculele de transport al deșeurilor vor circula numai pe drumurile interioare amenajate ale depozitului. Dacă accesul autovehiculelor de transport pe suprafața deșeurilor nu poate fi evitat, în mod temporar se asigură condiții de spălare și dezinfectare a exteriorului autovehiculelor la ieșirea din depozit;</w:t>
      </w:r>
    </w:p>
    <w:p>
      <w:pPr>
        <w:numPr>
          <w:ilvl w:val="0"/>
          <w:numId w:val="1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pe perioada exploatării depozitului se aplică măsuri de combatere a insectelor și rozătoarelor prin dezinsecție și deratizare;</w:t>
      </w:r>
    </w:p>
    <w:p>
      <w:pPr>
        <w:numPr>
          <w:ilvl w:val="0"/>
          <w:numId w:val="19"/>
        </w:num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organizarea depozitului va asigura protecția sănătății populației în general, protecția sănătății personalului și protecția  mediului; se acordă atenție deosebităîmprejmuirii și perdelelor de protecție.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Înoperarea depozitului se va acorda o atenție deosebită controlului asupra gazelor formate în depozit, luându-se măsurile necesare pentru a controla acumularea și migrarea gazelor generate.</w:t>
      </w:r>
    </w:p>
    <w:p>
      <w:pPr>
        <w:numPr>
          <w:ilvl w:val="0"/>
          <w:numId w:val="6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Gazul generat în depozit trebuie colectat pentru a fi tratat și apoi utilizat. Când gazul colectat nu poate fi utilizat pentru a produce energie, acesta trebuie ars.</w:t>
      </w:r>
    </w:p>
    <w:p>
      <w:pPr>
        <w:numPr>
          <w:ilvl w:val="0"/>
          <w:numId w:val="6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Operațiile de colectare, tratare și utilizare a gazelor generate în depozitele de deșeuri se efectuează astfel încât să minimizeze efectele negative sau deteriorarea mediului și riscul pentru sănătatea umană.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Îndepozitele pentru deșeuri nepericuloase pot fi depozitate deșeurile reziduale care au rezultat în urma procesului de sortare și a procesului de tratare mecano-biologică, precum și deșeurile pentru care tratarea nu contribuie la reducerea cantității acestora sau a pericolelor pe care le prezintă pentru sănătatea umană sau pentru mediu și nici nu pot fi valorificate.</w:t>
      </w:r>
    </w:p>
    <w:p>
      <w:pPr>
        <w:numPr>
          <w:ilvl w:val="0"/>
          <w:numId w:val="6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Este interzisă depozitarea deșeurilor reciclabile colectate separat, a deșeurilor verzi colectate separat, a deșeurilor de echipamente electrice și electronice, precum și a </w:t>
      </w:r>
      <w:r>
        <w:rPr>
          <w:rFonts w:ascii="Verdana" w:hAnsi="Verdana" w:cs="Verdana"/>
          <w:sz w:val="20"/>
          <w:szCs w:val="20"/>
          <w:lang w:val="ro-RO"/>
        </w:rPr>
        <w:lastRenderedPageBreak/>
        <w:t>oricăror tipuri de deșeuri a căror valorificare materială este justificată din punct de vedere tehnic și economic.</w:t>
      </w:r>
    </w:p>
    <w:p>
      <w:pPr>
        <w:numPr>
          <w:ilvl w:val="0"/>
          <w:numId w:val="6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Este admis la depozitare nămolul rezultat de la epurarea apelor orășenești în condițiile în care îndeplinește condițiile de acceptare la depozitare și are o umiditate de maxim 65 %. Nămolul se depozitează amestecat cu deșeurile municipale în proporție de 1:10.</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Se va realiza monitorizareapost-închidere a depozitelor de deșeuri neconforme închise(ANINA, BĂILE HERCULANE, BOCȘA, CARANSEBEȘ, MOLDOVA NOUĂ, ORAVIȚA, OȚELU ROȘU, REȘIȚA) pe o perioadă de 30 de ani.</w:t>
      </w:r>
    </w:p>
    <w:p>
      <w:pPr>
        <w:numPr>
          <w:ilvl w:val="0"/>
          <w:numId w:val="6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Monitorizarea constă în măsurarea impacturilor pe care le poate avea amplasamentul asupra solului, apei freatice, apei de suprafaţă şi sedimentelor, măsurarea volumului şi compoziţiei chimice a gazului generat, a verificării funcţionării sistemului de evacuare a gazelor, stabilite în contractul de delegare a gestiunii serviciului de salubrizare și prevederile legislative în vigoare.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Responsabilitatea efectuării și finanțării acestei activități revine autorităților publice pe teritoriul cărora au funcționat aceste depozite. </w:t>
      </w:r>
    </w:p>
    <w:p>
      <w:pPr>
        <w:numPr>
          <w:ilvl w:val="0"/>
          <w:numId w:val="6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Cheltuielile cu monitorizarea post-închidere a depozitelor neconforme închise prin proiect pentru o perioadă de minimum 30 de ani,vor fi prevăzute în bugetele locale anuale.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Consiliul Județean Caraș-Severin va pune la dispoziția UAT-urilor responsabile cu monitorizarea post-închidere a depozitelor neconforme următoarele documente:</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Planuri cu locațiile depozitelor închise definitiv</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Proiectul care a stat la baza lucrărilor de închidere a depozitelor neconforme</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Orice alte avize și/sau documente în legătură cu închiderea depozitelor neconforme.</w:t>
      </w:r>
    </w:p>
    <w:p>
      <w:pPr>
        <w:numPr>
          <w:ilvl w:val="0"/>
          <w:numId w:val="6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Responsabilii desemnați vor asigura elaborarea și/sau actualizarea periodică a următoarelor documente:</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Planul de monitorizare post-închidere </w:t>
      </w:r>
    </w:p>
    <w:p>
      <w:pPr>
        <w:numPr>
          <w:ilvl w:val="0"/>
          <w:numId w:val="3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Proceduri proprii de monitorizare pentru: modul/capacitatea de funcționare a sistemului de impermeabilizare a suprafeței depozitului,  starea de deformare a sistemului de etanșare la suprafață al depozitului de deșeuri, gestionarea apei din precipitații colectate de pe suprafețele acoperite, starea stratului vegetal, starea sistemului de drenaj</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Operatorul depozitului conform Lupac este obligat să îşi constituie un fond pentru închiderea şi urmărirea post-închidere a depozitului, denumit Fond pentru închiderea depozitului de deşeuri şi urmărirea acestuia post-închidere.</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Fondul prevăzut la alin. (1) se păstrează într-un cont purtător de dobândă deschis la o bancă comercială, cu excepţia cazului în care operatorul depozitului are calitatea de instituţie publică şi fondul se păstrează într-un cont deschis la unitatea de trezorerie şi contabilitate publică în a cărei rază acesta îşi are sediul fiscal. Dobânda obţinută constituie sursă suplimentară de alimentare a fondului.</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Fondul se constituie în limita sumei stabilite prin proiectul depozitului pentru închiderea şi urmărirea post-închidere a depozitului şi se realizează prin eşalonarea anuală a acestei sume, astfel:</w:t>
      </w:r>
    </w:p>
    <w:p>
      <w:pPr>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a) din cota-parte din tarifele/taxă de depozitare percepute de operator din prima zi a intrării în funcţiune a depozitului unde se realizează depozitarea deşeurilor pentru terţa persoană;</w:t>
      </w:r>
    </w:p>
    <w:p>
      <w:pPr>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b) cota-parte anuală din suma stabilită prin proiectul depozitului la depozitele unde operatorii realizează eliminarea propriilor deşeuri.</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Cota-parte din tarifele de depozitare care alimentează fondul se stabileşte iniţial prin proiect şi se recalculează la cel mult 3 ani în vederea asigurării sumei stabilite la alin. (3).</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Fondul se alimentează trimestrial, după finalizarea încasărilor contravalorii operaţiunilor de depozitare pe perioada acelui trimestru, iar controlul depunerii sumelor previzionate se face anual pe toată perioada exploatării depozitului; aceste sume sunt previzionate.</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Consumul fondului se face pe baza situaţiilor de lucrări care se întocmesc o dată cu realizarea lucrărilor, la închiderea depozitului sau a unei părţi a depozitului. Operatorul utilizează fondurile previzionate constituite în acest scop pe baza situaţiilor de lucrări justificative.</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Controlul alimentării şi utilizării fondului se realizează de către autorităţile competente ale administraţiei publice locale pentru finanţe publice, în conformitate cu prevederile legislaţiei în vigoare.</w:t>
      </w:r>
    </w:p>
    <w:p>
      <w:pPr>
        <w:numPr>
          <w:ilvl w:val="0"/>
          <w:numId w:val="6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Autorităţile administraţiei publice locale trebuie să asigure transparenţa informaţiei privind costul depozitării deşeurilor şi al implicaţiilor realizării depozitului de deşeuri.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Pe întreaga perioadă de exploatare a depozitului de deșeuri Lupac, operatorul care asigură activitatea de administrare a depozitului trebuie să aibă documente relevante din care să rezulte:</w:t>
      </w:r>
    </w:p>
    <w:p>
      <w:pPr>
        <w:numPr>
          <w:ilvl w:val="0"/>
          <w:numId w:val="2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categoria depozitului de deșeuri;</w:t>
      </w:r>
    </w:p>
    <w:p>
      <w:pPr>
        <w:numPr>
          <w:ilvl w:val="0"/>
          <w:numId w:val="2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lista tipurilor definite și cantitatea totală de deșeuri autorizată spre eliminare;</w:t>
      </w:r>
    </w:p>
    <w:p>
      <w:pPr>
        <w:numPr>
          <w:ilvl w:val="0"/>
          <w:numId w:val="2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gradul de pregătire a depozitului pentru operațiile de depozitare a deșeurilor și pentru procedurile de supraveghere și control, inclusiv planurile pentru situații neprevăzute, precum și cerințele temporare pentru închidere și operațiile post-închidere;</w:t>
      </w:r>
    </w:p>
    <w:p>
      <w:pPr>
        <w:numPr>
          <w:ilvl w:val="0"/>
          <w:numId w:val="2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obligația operatorului de a informa cel puțin trimestrial autoritățile competente cu privire la:</w:t>
      </w:r>
    </w:p>
    <w:p>
      <w:pPr>
        <w:numPr>
          <w:ilvl w:val="0"/>
          <w:numId w:val="3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tipurile și cantitățile de deșeuri depozitate;</w:t>
      </w:r>
    </w:p>
    <w:p>
      <w:pPr>
        <w:numPr>
          <w:ilvl w:val="0"/>
          <w:numId w:val="3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rezultatele programului de monitorizare;</w:t>
      </w:r>
    </w:p>
    <w:p>
      <w:pPr>
        <w:numPr>
          <w:ilvl w:val="0"/>
          <w:numId w:val="3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toate rezultatele procedurilor de supraveghere din care să rezulte respectarea condițiilor impuse și modul de comportare a diferitelor deșeuri în depozite;</w:t>
      </w:r>
    </w:p>
    <w:p>
      <w:pPr>
        <w:numPr>
          <w:ilvl w:val="0"/>
          <w:numId w:val="2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controlul de calitate al operațiilor analitice ale procedurilor de supraveghere și control și/sau al analizelor menționate ca obligatorii, efectuate în laboratoarele de specialitate.</w:t>
      </w:r>
    </w:p>
    <w:p>
      <w:pPr>
        <w:autoSpaceDE w:val="0"/>
        <w:autoSpaceDN w:val="0"/>
        <w:adjustRightInd w:val="0"/>
        <w:spacing w:after="240" w:line="276" w:lineRule="auto"/>
        <w:ind w:left="717"/>
        <w:jc w:val="both"/>
        <w:rPr>
          <w:rFonts w:ascii="Verdana" w:hAnsi="Verdana" w:cs="Verdana"/>
          <w:sz w:val="20"/>
          <w:szCs w:val="20"/>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6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Operatorul care asigură administrarea depozitului Lupac trebuie să aibă și săîntocmească o documentație specifică urmăririi stării și comportării depozitului în funcție de factorii de mediu și de deșeurile depozitate.</w:t>
      </w:r>
    </w:p>
    <w:p>
      <w:pPr>
        <w:numPr>
          <w:ilvl w:val="0"/>
          <w:numId w:val="6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Probele prelevate pentru determinarea unor indicatori, în vederea definirii nivelului de afectare a calității factorilor de mediu, vor fi analizate de laboratoare acreditate conform legii.</w:t>
      </w:r>
    </w:p>
    <w:p>
      <w:pPr>
        <w:numPr>
          <w:ilvl w:val="0"/>
          <w:numId w:val="6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Din punct de vedere al deșeurilor intrate în depozit se vor consemna în rapoartele operative zilnice următoarele:</w:t>
      </w:r>
    </w:p>
    <w:p>
      <w:pPr>
        <w:autoSpaceDE w:val="0"/>
        <w:autoSpaceDN w:val="0"/>
        <w:adjustRightInd w:val="0"/>
        <w:spacing w:after="240" w:line="276" w:lineRule="auto"/>
        <w:ind w:firstLine="360"/>
        <w:jc w:val="both"/>
        <w:rPr>
          <w:rFonts w:ascii="Verdana" w:hAnsi="Verdana" w:cs="Verdana"/>
          <w:sz w:val="20"/>
          <w:szCs w:val="20"/>
          <w:lang w:val="ro-RO"/>
        </w:rPr>
      </w:pPr>
      <w:r>
        <w:rPr>
          <w:rFonts w:ascii="Verdana" w:hAnsi="Verdana" w:cs="Verdana"/>
          <w:sz w:val="20"/>
          <w:szCs w:val="20"/>
          <w:lang w:val="ro-RO"/>
        </w:rPr>
        <w:t>a) cantitățile de deșeuri intrate în depozit pe tipuri de deșeu;</w:t>
      </w:r>
    </w:p>
    <w:p>
      <w:pPr>
        <w:autoSpaceDE w:val="0"/>
        <w:autoSpaceDN w:val="0"/>
        <w:adjustRightInd w:val="0"/>
        <w:spacing w:after="240" w:line="276" w:lineRule="auto"/>
        <w:ind w:firstLine="360"/>
        <w:jc w:val="both"/>
        <w:rPr>
          <w:rFonts w:ascii="Verdana" w:hAnsi="Verdana" w:cs="Verdana"/>
          <w:sz w:val="20"/>
          <w:szCs w:val="20"/>
          <w:lang w:val="ro-RO"/>
        </w:rPr>
      </w:pPr>
      <w:r>
        <w:rPr>
          <w:rFonts w:ascii="Verdana" w:hAnsi="Verdana" w:cs="Verdana"/>
          <w:sz w:val="20"/>
          <w:szCs w:val="20"/>
          <w:lang w:val="ro-RO"/>
        </w:rPr>
        <w:t>b) compoziția deșeurilor intrate în depozit;</w:t>
      </w:r>
    </w:p>
    <w:p>
      <w:pPr>
        <w:autoSpaceDE w:val="0"/>
        <w:autoSpaceDN w:val="0"/>
        <w:adjustRightInd w:val="0"/>
        <w:spacing w:after="240" w:line="276" w:lineRule="auto"/>
        <w:ind w:firstLine="360"/>
        <w:jc w:val="both"/>
        <w:rPr>
          <w:rFonts w:ascii="Verdana" w:hAnsi="Verdana" w:cs="Verdana"/>
          <w:sz w:val="20"/>
          <w:szCs w:val="20"/>
          <w:lang w:val="ro-RO"/>
        </w:rPr>
      </w:pPr>
      <w:r>
        <w:rPr>
          <w:rFonts w:ascii="Verdana" w:hAnsi="Verdana" w:cs="Verdana"/>
          <w:sz w:val="20"/>
          <w:szCs w:val="20"/>
          <w:lang w:val="ro-RO"/>
        </w:rPr>
        <w:t>c) dacă deșeul provine de la o stație de sortare și elementele de identificare ale acestuia;</w:t>
      </w:r>
    </w:p>
    <w:p>
      <w:pPr>
        <w:autoSpaceDE w:val="0"/>
        <w:autoSpaceDN w:val="0"/>
        <w:adjustRightInd w:val="0"/>
        <w:spacing w:after="240" w:line="276" w:lineRule="auto"/>
        <w:ind w:firstLine="360"/>
        <w:jc w:val="both"/>
        <w:rPr>
          <w:rFonts w:ascii="Verdana" w:hAnsi="Verdana" w:cs="Verdana"/>
          <w:sz w:val="20"/>
          <w:szCs w:val="20"/>
          <w:lang w:val="ro-RO"/>
        </w:rPr>
      </w:pPr>
      <w:r>
        <w:rPr>
          <w:rFonts w:ascii="Verdana" w:hAnsi="Verdana" w:cs="Verdana"/>
          <w:sz w:val="20"/>
          <w:szCs w:val="20"/>
          <w:lang w:val="ro-RO"/>
        </w:rPr>
        <w:t>d) data și ora fiecărui transport;</w:t>
      </w:r>
    </w:p>
    <w:p>
      <w:pPr>
        <w:autoSpaceDE w:val="0"/>
        <w:autoSpaceDN w:val="0"/>
        <w:adjustRightInd w:val="0"/>
        <w:spacing w:after="240" w:line="276" w:lineRule="auto"/>
        <w:ind w:firstLine="360"/>
        <w:jc w:val="both"/>
        <w:rPr>
          <w:rFonts w:ascii="Verdana" w:hAnsi="Verdana" w:cs="Verdana"/>
          <w:sz w:val="20"/>
          <w:szCs w:val="20"/>
          <w:lang w:val="ro-RO"/>
        </w:rPr>
      </w:pPr>
      <w:r>
        <w:rPr>
          <w:rFonts w:ascii="Verdana" w:hAnsi="Verdana" w:cs="Verdana"/>
          <w:sz w:val="20"/>
          <w:szCs w:val="20"/>
          <w:lang w:val="ro-RO"/>
        </w:rPr>
        <w:t>e) locul de depozitare în cadrul depozitului (celulă, compartiment etc).</w:t>
      </w:r>
    </w:p>
    <w:p>
      <w:pPr>
        <w:numPr>
          <w:ilvl w:val="0"/>
          <w:numId w:val="6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Anual se va urmări gradul de tasare a depozitului pe zone de depozitare.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sz w:val="20"/>
          <w:szCs w:val="20"/>
          <w:lang w:val="ro-RO"/>
        </w:rPr>
      </w:pPr>
      <w:r>
        <w:rPr>
          <w:rFonts w:ascii="Verdana" w:hAnsi="Verdana" w:cs="Verdana"/>
          <w:sz w:val="20"/>
          <w:szCs w:val="20"/>
          <w:lang w:val="ro-RO"/>
        </w:rPr>
        <w:t>De asemenea, operatorul care administrează depozitul Lupac trebuie:</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să accepte introducerea în depozit numai a deșeurilor permise, menționate în autorizație, și să respecte tehnologia de depozitare aprobată de autoritatea care a avizat înființarea depozitului;</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supravegheze permanent modul de depozitare a deșeurilor sub aspectul stabilității și etanșeității și să efectueze măsurătorile necesare stabilite în prezentul regulament și în autorizație, pentru exploatarea în condiții de siguranță a depozitului;</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exploateze la parametrii proiectați instalațiile de depoluare, în special instalația de epurare a levigatului cu osmoză inversă cu care sunt dotate și să se doteze cu instalații pentru depoluare, acolo unde acestea lipsesc;</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gestionarea concentratului rezultat în urma procesului de epurare cu osmoza inversă în conformitate cu prevederile legale în vigoare și cu prevederile autorizației integrate de mediu:</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execute controlul și monitorizarea emisiilor și imisiilor de poluanți, prin laboratorul propriu sau în colaborare cu alte laboratoare certificate conform legii;</w:t>
      </w:r>
    </w:p>
    <w:p>
      <w:pPr>
        <w:numPr>
          <w:ilvl w:val="0"/>
          <w:numId w:val="2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permită accesul în incinta depozitului a persoanelor neautorizate.</w:t>
      </w:r>
    </w:p>
    <w:p>
      <w:pPr>
        <w:pStyle w:val="Heading2"/>
        <w:spacing w:before="0" w:after="240" w:line="276" w:lineRule="auto"/>
        <w:ind w:left="2160" w:hanging="2160"/>
        <w:jc w:val="both"/>
        <w:rPr>
          <w:rFonts w:ascii="Verdana" w:hAnsi="Verdana" w:cs="Verdana"/>
          <w:i w:val="0"/>
          <w:iCs w:val="0"/>
          <w:sz w:val="24"/>
          <w:szCs w:val="24"/>
          <w:lang w:val="ro-RO"/>
        </w:rPr>
      </w:pPr>
      <w:bookmarkStart w:id="43" w:name="_Toc180478990"/>
      <w:bookmarkStart w:id="44" w:name="_Toc180479039"/>
      <w:bookmarkStart w:id="45" w:name="_Toc340647378"/>
      <w:bookmarkStart w:id="46" w:name="_Toc41469114"/>
      <w:r>
        <w:rPr>
          <w:rFonts w:ascii="Verdana" w:hAnsi="Verdana" w:cs="Verdana"/>
          <w:i w:val="0"/>
          <w:iCs w:val="0"/>
          <w:sz w:val="24"/>
          <w:szCs w:val="24"/>
          <w:lang w:val="ro-RO"/>
        </w:rPr>
        <w:t>SECȚIUNEA 6</w:t>
      </w:r>
      <w:bookmarkEnd w:id="43"/>
      <w:bookmarkEnd w:id="44"/>
      <w:r>
        <w:rPr>
          <w:rFonts w:ascii="Verdana" w:hAnsi="Verdana" w:cs="Verdana"/>
          <w:i w:val="0"/>
          <w:iCs w:val="0"/>
          <w:sz w:val="24"/>
          <w:szCs w:val="24"/>
          <w:lang w:val="ro-RO"/>
        </w:rPr>
        <w:tab/>
        <w:t>Colectarea, transportul, valorificarea și eliminarea deșeurilor voluminoase</w:t>
      </w:r>
      <w:bookmarkEnd w:id="45"/>
      <w:bookmarkEnd w:id="46"/>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voluminoase constau în deșeuri solide de dimensiuni mari (mobilier, covoare, saltele, obiecte mari de folosințăîndelungată altele decât deșeurile de echipamente electrice și electronice etc.), care nu pot fi preluate cu sistemele obișnuite de precolectare și colectare a deșeurilor municipale.</w:t>
      </w:r>
    </w:p>
    <w:p>
      <w:pPr>
        <w:numPr>
          <w:ilvl w:val="0"/>
          <w:numId w:val="7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voluminoase se va face prin intermediul campaniilor de colectare organizate de către operatorii de salubrizare cu o frecvențăminimă trimestrială. Programul acestor campanii (data, locurile de staționare, timpul de staționare, intervalul orar în care se realizează staționarea), după aprobarea de către autoritățile administrațiilor publice locale, va fi anunțatăgeneratorilor de deșeuri.</w:t>
      </w:r>
    </w:p>
    <w:p>
      <w:pPr>
        <w:numPr>
          <w:ilvl w:val="0"/>
          <w:numId w:val="7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deșeurilor voluminoase se poate face și direct de la deținătorii acestora, în sistemul „la cerere”, în urma apelurilor telefonice de la populație, instituții publice și operatori economici.Înaceastă situație, operatorii de salubrizare pot să stabilească o altă dată și oră decât cele aprobate de autoritatea administrației publice locale în cadrul programelor de colectare a deșeurilor voluminoase.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Frecvența de colectare a deșeurilor voluminoase va fi de o dată la trei luni.Dupăprimul an, în funcție de cantitatea de deșeuri voluminoase colectate, frecvența de colectare poate fi crescută sau scăzută. Modificarea frecvenței de colectare a deșeurilor voluminoase se face cu acordul ADI INTERCOMDEȘEURICARAȘ SEVERIN sau a autorităților publice locale, după caz.</w:t>
      </w:r>
    </w:p>
    <w:p>
      <w:pPr>
        <w:numPr>
          <w:ilvl w:val="0"/>
          <w:numId w:val="7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Operatorii de colectare și transport vor informa cetățenii de pe teritoriul județului Caraș Severin, la începutul fiecărui an,cu privire la calendarul de colectare a deșeurilor voluminoase.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de colectare și transport vor asigura colectarea separată a deșeurilor voluminoase și predarea acestora operatorului CMID de la Lupac, fie direct, fie prin intermediul stațiilor de transfer.</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Operatoriide colectare și transport trebuie să aibă un sistem de evidență a gestionării deșeurilor voluminoase din care să rezulte:</w:t>
      </w:r>
    </w:p>
    <w:p>
      <w:pPr>
        <w:numPr>
          <w:ilvl w:val="0"/>
          <w:numId w:val="2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data în care s-a realizat colectarea și transportul (atât în cazul campaniilor de colectare cât și în cazul colectării „la cerere”);</w:t>
      </w:r>
    </w:p>
    <w:p>
      <w:pPr>
        <w:numPr>
          <w:ilvl w:val="0"/>
          <w:numId w:val="2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cantitățile totale preluate de la utilizatorii casnici și non-casnici.</w:t>
      </w:r>
    </w:p>
    <w:p>
      <w:pPr>
        <w:autoSpaceDE w:val="0"/>
        <w:autoSpaceDN w:val="0"/>
        <w:adjustRightInd w:val="0"/>
        <w:spacing w:after="240" w:line="276" w:lineRule="auto"/>
        <w:ind w:left="717"/>
        <w:jc w:val="both"/>
        <w:rPr>
          <w:rFonts w:ascii="Verdana" w:hAnsi="Verdana" w:cs="Verdana"/>
          <w:sz w:val="20"/>
          <w:szCs w:val="20"/>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Operatorul CMID Lupac va asigura tratarea, valorificarea și eliminarea fracției nevalorificabile din deșeurile voluminoase.</w:t>
      </w:r>
    </w:p>
    <w:p>
      <w:pPr>
        <w:numPr>
          <w:ilvl w:val="0"/>
          <w:numId w:val="7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Eliminarea fracției de deșeuri voluminoase care nu poate fi valorificată se va realiza la depozitul conform de la Lupac.</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Operatorul CMID Lupac trebuie să aibă un sistem de evidență a gestionării deșeurilor voluminoase din care să rezulte:</w:t>
      </w:r>
    </w:p>
    <w:p>
      <w:pPr>
        <w:numPr>
          <w:ilvl w:val="0"/>
          <w:numId w:val="4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cantitățile totale preluate de la operatorii de colectare;</w:t>
      </w:r>
    </w:p>
    <w:p>
      <w:pPr>
        <w:numPr>
          <w:ilvl w:val="0"/>
          <w:numId w:val="4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cantitățile de deșeuri voluminoase care au fost valorificate;</w:t>
      </w:r>
    </w:p>
    <w:p>
      <w:pPr>
        <w:numPr>
          <w:ilvl w:val="0"/>
          <w:numId w:val="4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cantitățile de deșeuri voluminoase care au fost eliminate.</w:t>
      </w:r>
    </w:p>
    <w:p>
      <w:pPr>
        <w:autoSpaceDE w:val="0"/>
        <w:autoSpaceDN w:val="0"/>
        <w:adjustRightInd w:val="0"/>
        <w:spacing w:after="240" w:line="276" w:lineRule="auto"/>
        <w:ind w:left="717"/>
        <w:jc w:val="both"/>
        <w:rPr>
          <w:rFonts w:ascii="Verdana" w:hAnsi="Verdana" w:cs="Verdana"/>
          <w:sz w:val="20"/>
          <w:szCs w:val="20"/>
          <w:lang w:val="ro-RO"/>
        </w:rPr>
      </w:pPr>
    </w:p>
    <w:p>
      <w:pPr>
        <w:pStyle w:val="Heading2"/>
        <w:spacing w:before="0" w:after="240" w:line="276" w:lineRule="auto"/>
        <w:ind w:left="2160" w:hanging="2160"/>
        <w:jc w:val="both"/>
        <w:rPr>
          <w:rFonts w:ascii="Verdana" w:hAnsi="Verdana" w:cs="Verdana"/>
          <w:i w:val="0"/>
          <w:iCs w:val="0"/>
          <w:sz w:val="24"/>
          <w:szCs w:val="24"/>
          <w:lang w:val="ro-RO"/>
        </w:rPr>
      </w:pPr>
      <w:bookmarkStart w:id="47" w:name="_Toc41469115"/>
      <w:r>
        <w:rPr>
          <w:rFonts w:ascii="Verdana" w:hAnsi="Verdana" w:cs="Verdana"/>
          <w:i w:val="0"/>
          <w:iCs w:val="0"/>
          <w:sz w:val="24"/>
          <w:szCs w:val="24"/>
          <w:lang w:val="ro-RO"/>
        </w:rPr>
        <w:t>SECȚIUNEA 7</w:t>
      </w:r>
      <w:r>
        <w:rPr>
          <w:rFonts w:ascii="Verdana" w:hAnsi="Verdana" w:cs="Verdana"/>
          <w:i w:val="0"/>
          <w:iCs w:val="0"/>
          <w:sz w:val="24"/>
          <w:szCs w:val="24"/>
          <w:lang w:val="ro-RO"/>
        </w:rPr>
        <w:tab/>
        <w:t>Colectarea și transportul deșeurilor de echipamente electrice și electronice</w:t>
      </w:r>
      <w:bookmarkEnd w:id="47"/>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În vederea reducerii cantităţii de DEEE eliminate ca deşeuri municipale nesortate şi pentru atingerea unui nivel ridicat de colectare separată, posesorii de DEEE trebuie să le predea la punctele de colectare constituite special în acest scop  în localitățile </w:t>
      </w:r>
      <w:r>
        <w:rPr>
          <w:rFonts w:ascii="Verdana" w:hAnsi="Verdana" w:cs="Verdana"/>
          <w:sz w:val="20"/>
          <w:szCs w:val="20"/>
          <w:lang w:val="ro-RO"/>
        </w:rPr>
        <w:lastRenderedPageBreak/>
        <w:t>urbane, fie de operatorii serviciului de salubrizare, fie de alte persoane juridice care au ca obiect de activitate colectarea și valorificarea de DEEE.</w:t>
      </w:r>
    </w:p>
    <w:p>
      <w:pPr>
        <w:numPr>
          <w:ilvl w:val="0"/>
          <w:numId w:val="7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Punctele de colectare sunt amplasate în locuri şi la distanţe care să asigure un acces uşor, ţinând seama în special de densitatea populaţiei.Înstațiile de Transfer Bozovici, Pojejena, Oravița, Băile Herculane și Oțelu Roșu, precum și la CMID Lupac sunt amplasate containere destinate special stocării temporare a DEEE-urilor, unde posesorii de DEEE pot aduce voluntar acest tip de deșeuri.</w:t>
      </w:r>
    </w:p>
    <w:p>
      <w:pPr>
        <w:numPr>
          <w:ilvl w:val="0"/>
          <w:numId w:val="7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Colectarea şi transportul DEEE colectate separat se efectuează astfel încât să optimizeze refolosirea şi reciclarea componentelor sau aparatelor întregi care pot fi refolosite sau reciclate.</w:t>
      </w:r>
    </w:p>
    <w:p>
      <w:pPr>
        <w:autoSpaceDE w:val="0"/>
        <w:autoSpaceDN w:val="0"/>
        <w:adjustRightInd w:val="0"/>
        <w:spacing w:after="240" w:line="276" w:lineRule="auto"/>
        <w:ind w:left="360"/>
        <w:jc w:val="both"/>
        <w:rPr>
          <w:rFonts w:ascii="Verdana" w:hAnsi="Verdana" w:cs="Verdana"/>
          <w:sz w:val="20"/>
          <w:szCs w:val="20"/>
          <w:lang w:val="ro-RO"/>
        </w:rPr>
      </w:pPr>
    </w:p>
    <w:p>
      <w:pPr>
        <w:autoSpaceDE w:val="0"/>
        <w:autoSpaceDN w:val="0"/>
        <w:adjustRightInd w:val="0"/>
        <w:spacing w:after="240" w:line="276" w:lineRule="auto"/>
        <w:ind w:left="360"/>
        <w:jc w:val="both"/>
        <w:rPr>
          <w:rFonts w:ascii="Verdana" w:hAnsi="Verdana" w:cs="Verdana"/>
          <w:sz w:val="20"/>
          <w:szCs w:val="20"/>
          <w:lang w:val="ro-RO"/>
        </w:rPr>
      </w:pPr>
    </w:p>
    <w:p>
      <w:pPr>
        <w:autoSpaceDE w:val="0"/>
        <w:autoSpaceDN w:val="0"/>
        <w:adjustRightInd w:val="0"/>
        <w:spacing w:after="240" w:line="276" w:lineRule="auto"/>
        <w:ind w:left="360"/>
        <w:jc w:val="both"/>
        <w:rPr>
          <w:rFonts w:ascii="Verdana" w:hAnsi="Verdana" w:cs="Verdana"/>
          <w:sz w:val="20"/>
          <w:szCs w:val="20"/>
          <w:lang w:val="ro-RO"/>
        </w:rPr>
      </w:pPr>
    </w:p>
    <w:p>
      <w:pPr>
        <w:autoSpaceDE w:val="0"/>
        <w:autoSpaceDN w:val="0"/>
        <w:adjustRightInd w:val="0"/>
        <w:spacing w:after="240" w:line="276" w:lineRule="auto"/>
        <w:ind w:left="360"/>
        <w:jc w:val="both"/>
        <w:rPr>
          <w:rFonts w:ascii="Verdana" w:hAnsi="Verdana" w:cs="Verdana"/>
          <w:sz w:val="20"/>
          <w:szCs w:val="20"/>
          <w:lang w:val="ro-RO"/>
        </w:rPr>
      </w:pPr>
    </w:p>
    <w:p>
      <w:pPr>
        <w:pStyle w:val="Heading2"/>
        <w:tabs>
          <w:tab w:val="left" w:pos="1980"/>
        </w:tabs>
        <w:spacing w:before="0" w:after="240" w:line="276" w:lineRule="auto"/>
        <w:ind w:left="2160" w:hanging="2160"/>
        <w:rPr>
          <w:rFonts w:ascii="Verdana" w:hAnsi="Verdana" w:cs="Verdana"/>
          <w:i w:val="0"/>
          <w:iCs w:val="0"/>
          <w:sz w:val="24"/>
          <w:szCs w:val="24"/>
          <w:lang w:val="ro-RO"/>
        </w:rPr>
      </w:pPr>
      <w:bookmarkStart w:id="48" w:name="_Toc180478992"/>
      <w:bookmarkStart w:id="49" w:name="_Toc180479041"/>
      <w:bookmarkStart w:id="50" w:name="_Toc340647380"/>
      <w:bookmarkStart w:id="51" w:name="_Toc41469116"/>
      <w:r>
        <w:rPr>
          <w:rFonts w:ascii="Verdana" w:hAnsi="Verdana" w:cs="Verdana"/>
          <w:i w:val="0"/>
          <w:iCs w:val="0"/>
          <w:sz w:val="24"/>
          <w:szCs w:val="24"/>
          <w:lang w:val="ro-RO"/>
        </w:rPr>
        <w:t>SECȚIUNEA 8</w:t>
      </w:r>
      <w:r>
        <w:rPr>
          <w:rFonts w:ascii="Verdana" w:hAnsi="Verdana" w:cs="Verdana"/>
          <w:i w:val="0"/>
          <w:iCs w:val="0"/>
          <w:sz w:val="24"/>
          <w:szCs w:val="24"/>
          <w:lang w:val="ro-RO"/>
        </w:rPr>
        <w:tab/>
        <w:t xml:space="preserve">Colectarea, transportul, </w:t>
      </w:r>
      <w:bookmarkEnd w:id="48"/>
      <w:bookmarkEnd w:id="49"/>
      <w:r>
        <w:rPr>
          <w:rFonts w:ascii="Verdana" w:hAnsi="Verdana" w:cs="Verdana"/>
          <w:i w:val="0"/>
          <w:iCs w:val="0"/>
          <w:sz w:val="24"/>
          <w:szCs w:val="24"/>
          <w:lang w:val="ro-RO"/>
        </w:rPr>
        <w:t>sortarea,valorificarea șieliminarea deșeurilorprovenite din gospodăriile populației,generate de activități de reamenajare și reabilitare interioara alocuințelor/apartamentelor proprietateindividual</w:t>
      </w:r>
      <w:bookmarkEnd w:id="50"/>
      <w:r>
        <w:rPr>
          <w:rFonts w:ascii="Verdana" w:hAnsi="Verdana" w:cs="Verdana"/>
          <w:i w:val="0"/>
          <w:iCs w:val="0"/>
          <w:sz w:val="24"/>
          <w:szCs w:val="24"/>
          <w:lang w:val="ro-RO"/>
        </w:rPr>
        <w:t>ă</w:t>
      </w:r>
      <w:bookmarkEnd w:id="51"/>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Deșeurile din construcții și desființăriprovenite de lapopulație sunt deșeuri generate de activități de reamenajare și reabilitare interioară a locuințelor și apartamentelor proprietate individuală. </w:t>
      </w:r>
    </w:p>
    <w:p>
      <w:pPr>
        <w:numPr>
          <w:ilvl w:val="0"/>
          <w:numId w:val="7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Activitățile de reamenajare și reabilitare interioară a locuințelor și apartamentelor proprietate individuală, cu grad redus de repetabilitate și care se desfășoară ocazional, se prestează de către operatorii licențiați pentru desfășurarea activității de colectare și transport al deșeurilor și se efectuează la solicitarea producătorilor/deținătorilor de deșeuri, în baza tarifelor aprobate de către autoritatea deliberativă a administrației publice locale sau de către asociația de dezvoltare intercomunitară, după caz.</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Deșeurile din construcții și desființări de la gospodăriile private se colectează separat prin grija deținătorului și sunt transportate de către operatorii de colectare și transport la instalațiile de valorificare și/sau eliminare. </w:t>
      </w:r>
    </w:p>
    <w:p>
      <w:pPr>
        <w:numPr>
          <w:ilvl w:val="0"/>
          <w:numId w:val="7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Precolectarea se realizează numai în containere standardizate, fiind interzisă depozitarea deșeurilor provenite din activitatea de construcții și desființări în recipientele sau containerele în care se depun deșeurile municipale.</w:t>
      </w:r>
    </w:p>
    <w:p>
      <w:pPr>
        <w:numPr>
          <w:ilvl w:val="0"/>
          <w:numId w:val="7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Transportul deșeurilor provenite din activitățile de construcții și desființări se realizează în containerele în care s-a realizat precolectarea sau în basculante prevăzute cu sistem de acoperire a încărcăturii, pentru a nu avea loc degajarea prafului sau împrăștierea acestora în timpul transportului.</w:t>
      </w:r>
    </w:p>
    <w:p>
      <w:pPr>
        <w:numPr>
          <w:ilvl w:val="0"/>
          <w:numId w:val="7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Încazul deșeurilor provenite din activitățile de construcții și desființări prin a căror manipulare se degajă praf se vor lua măsurile necesare de umectare, astfel încât cantitatea de praf degajată în aer să fie sub concentrația admisă.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Acolo unde există instalațiile necesare, deșeurile din construcții și desființări nepericuloase vor fi mărunțite cu ajutorul instalațiilor de concasare, materialul rezultat fiind valorificat (ex. utilizat la construcția de drumuri, la acoperirea temporară pentru depozitul conform etc).</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Deșeurile nepericuloase din construcții și desființăricare nu pot fi valorificate (din cauze tehnice sau pentru ca nu este eficient din punct de vedere tehnico-economic) vor fi eliminate la un depozit de deșeuri nepericuloase care acceptă aceste deșeuri.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Materialele care conțin azbest, rezultate din desființări, trebuie colectate separat, nu vor fi amestecate cu celelalte deșeuri, iar manipularea lor se realizează astfel încât să nu se degaje fibre din material; personalul care realizează această operație va purta echipament de protecție, special, pentru lucrul cu azbestul.</w:t>
      </w:r>
    </w:p>
    <w:p>
      <w:pPr>
        <w:numPr>
          <w:ilvl w:val="0"/>
          <w:numId w:val="7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Containerele în care se precolectează materialele rezultate din construcții și desființări care au caracter periculos trebuie să fie prevăzute cu semne convenționale distinctive utilizate pentru avertizare în cazul substanțelor otrăvitoare și inscripționarea acestora cu avertizarea "PERICOL DE MOARTE". </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Stocarea temporară a deșeurilor periculoase din construcții și desființări, provenite de la populație se va realiza în spațiile special amenajate în acest scop de către operatorii de colectare și transport.</w:t>
      </w:r>
    </w:p>
    <w:p>
      <w:pPr>
        <w:numPr>
          <w:ilvl w:val="0"/>
          <w:numId w:val="7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menționați anterior sunt responsabili cu stocarea și eliminarea deșeurilor periculoase din construcții și desființări.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Este interzisă abandonarea și depozitarea deșeurilor din construcții și desființări pe domeniul public sau privat.</w:t>
      </w:r>
    </w:p>
    <w:p>
      <w:pPr>
        <w:pStyle w:val="Heading2"/>
        <w:tabs>
          <w:tab w:val="left" w:pos="1980"/>
        </w:tabs>
        <w:spacing w:before="0" w:after="240" w:line="276" w:lineRule="auto"/>
        <w:ind w:left="2160" w:hanging="2160"/>
        <w:jc w:val="both"/>
        <w:rPr>
          <w:rFonts w:ascii="Verdana" w:hAnsi="Verdana" w:cs="Verdana"/>
          <w:i w:val="0"/>
          <w:iCs w:val="0"/>
          <w:sz w:val="20"/>
          <w:szCs w:val="20"/>
          <w:lang w:val="ro-RO"/>
        </w:rPr>
      </w:pPr>
    </w:p>
    <w:p>
      <w:pPr>
        <w:pStyle w:val="Heading2"/>
        <w:tabs>
          <w:tab w:val="left" w:pos="1980"/>
        </w:tabs>
        <w:spacing w:before="0" w:after="240" w:line="276" w:lineRule="auto"/>
        <w:ind w:left="2160" w:hanging="2160"/>
        <w:jc w:val="both"/>
        <w:rPr>
          <w:rFonts w:ascii="Verdana" w:hAnsi="Verdana" w:cs="Verdana"/>
          <w:i w:val="0"/>
          <w:iCs w:val="0"/>
          <w:sz w:val="24"/>
          <w:szCs w:val="24"/>
          <w:lang w:val="ro-RO"/>
        </w:rPr>
      </w:pPr>
      <w:bookmarkStart w:id="52" w:name="_Toc41469117"/>
      <w:r>
        <w:rPr>
          <w:rFonts w:ascii="Verdana" w:hAnsi="Verdana" w:cs="Verdana"/>
          <w:i w:val="0"/>
          <w:iCs w:val="0"/>
          <w:sz w:val="24"/>
          <w:szCs w:val="24"/>
          <w:lang w:val="ro-RO"/>
        </w:rPr>
        <w:t>SECȚIUNEA 9</w:t>
      </w:r>
      <w:r>
        <w:rPr>
          <w:rFonts w:ascii="Verdana" w:hAnsi="Verdana" w:cs="Verdana"/>
          <w:i w:val="0"/>
          <w:iCs w:val="0"/>
          <w:sz w:val="24"/>
          <w:szCs w:val="24"/>
          <w:lang w:val="ro-RO"/>
        </w:rPr>
        <w:tab/>
        <w:t>Colectări ocazionale și servicii suplimentare</w:t>
      </w:r>
      <w:bookmarkEnd w:id="52"/>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Înplus față de activităţile de colectare la intervale regulate, prezentate mai sus, trebuie menționat că vor exista activităţi de colectare care depind parţial de anotimpuri și parţial de unele aranjamente speciale etc. Aceasta poate include colectarea deșeurilor de la festivaluri, concerte, târguri, campinguri și alte situaţii sau locaţii similare.</w:t>
      </w: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Deșeurile stradale rezultate din măturatul străzilor și aleilor, precum și cele colectate din piețe, târguri, etc. vor fi preluate de la societățile care au ca obiect de activitate măturatul, spălatul, stropirea şi întreţinerea căilor publice, de către operatorii de salubrizare din zona arondată, care le vor transporta fie la stațiile de transfer, fie direct la CMID Lupac. </w:t>
      </w: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de salubrizare licențiați care vor presta activitatea de preluare a deșeurilor stradale din zonele de colectare din județul Caraș-Severin au obligația sățină evidența și să raporteze lunar autorităților administrației publice locale cantitățile preluate de la fiecare UAT în vederea eliminării la CMID LUPAC.</w:t>
      </w: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Costurile preluării deșeurilor stradale se includ în tariful ofertat pentru prestarea activității de colectare separată și transportul separat al deșeurilor municipale, în conformitate cu contractul de prestare a serviciului de salubrizare încheiat între operatorul de salubrizare licențiat și societatea care colectează deșeurile stradale. </w:t>
      </w: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de salubrizare vor colecta deșeurile generate în astfel de situaţii și la cerere și în urma solicitării din partea Autorităţii Contractante.</w:t>
      </w:r>
    </w:p>
    <w:p>
      <w:pPr>
        <w:numPr>
          <w:ilvl w:val="0"/>
          <w:numId w:val="7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Frecvenţa și regularitatea acestui serviciu nu pot fi estimate, dar se presupune că reprezintă o mică parte a întregului serviciu.</w:t>
      </w:r>
    </w:p>
    <w:p>
      <w:pPr>
        <w:autoSpaceDE w:val="0"/>
        <w:autoSpaceDN w:val="0"/>
        <w:adjustRightInd w:val="0"/>
        <w:spacing w:after="240" w:line="276" w:lineRule="auto"/>
        <w:ind w:firstLine="357"/>
        <w:jc w:val="both"/>
        <w:rPr>
          <w:rFonts w:ascii="Verdana" w:hAnsi="Verdana" w:cs="Verdana"/>
          <w:sz w:val="20"/>
          <w:szCs w:val="20"/>
          <w:lang w:val="ro-RO"/>
        </w:rPr>
      </w:pPr>
      <w:r>
        <w:rPr>
          <w:rFonts w:ascii="Verdana" w:hAnsi="Verdana" w:cs="Verdana"/>
          <w:sz w:val="20"/>
          <w:szCs w:val="20"/>
          <w:lang w:val="ro-RO"/>
        </w:rPr>
        <w:br w:type="page"/>
      </w:r>
    </w:p>
    <w:p>
      <w:pPr>
        <w:pStyle w:val="StyleHeading1Verdana14ptCenteredBefore0ptAfter"/>
        <w:spacing w:after="240" w:line="276" w:lineRule="auto"/>
        <w:rPr>
          <w:lang w:val="ro-RO"/>
        </w:rPr>
      </w:pPr>
      <w:bookmarkStart w:id="53" w:name="_Toc180478994"/>
      <w:bookmarkStart w:id="54" w:name="_Toc180479043"/>
      <w:bookmarkStart w:id="55" w:name="_Toc41469118"/>
      <w:r>
        <w:rPr>
          <w:lang w:val="ro-RO"/>
        </w:rPr>
        <w:lastRenderedPageBreak/>
        <w:t>CAPITOLUL III</w:t>
      </w:r>
      <w:r>
        <w:rPr>
          <w:lang w:val="ro-RO"/>
        </w:rPr>
        <w:tab/>
        <w:t>DREPTURIȘI OBLIGAȚII</w:t>
      </w:r>
      <w:bookmarkEnd w:id="53"/>
      <w:bookmarkEnd w:id="54"/>
      <w:bookmarkEnd w:id="55"/>
    </w:p>
    <w:p>
      <w:pPr>
        <w:pStyle w:val="Heading2"/>
        <w:spacing w:before="0" w:after="240" w:line="276" w:lineRule="auto"/>
        <w:jc w:val="both"/>
        <w:rPr>
          <w:b w:val="0"/>
          <w:bCs w:val="0"/>
          <w:i w:val="0"/>
          <w:iCs w:val="0"/>
          <w:color w:val="000000"/>
          <w:sz w:val="22"/>
          <w:szCs w:val="22"/>
          <w:lang w:val="ro-RO"/>
        </w:rPr>
      </w:pPr>
      <w:bookmarkStart w:id="56" w:name="_Toc180478995"/>
      <w:bookmarkStart w:id="57" w:name="_Toc180479044"/>
    </w:p>
    <w:p>
      <w:pPr>
        <w:pStyle w:val="Heading2"/>
        <w:spacing w:before="0" w:after="240" w:line="276" w:lineRule="auto"/>
        <w:ind w:left="2520" w:hanging="2520"/>
        <w:jc w:val="both"/>
        <w:rPr>
          <w:rFonts w:ascii="Verdana" w:hAnsi="Verdana" w:cs="Verdana"/>
          <w:i w:val="0"/>
          <w:iCs w:val="0"/>
          <w:sz w:val="24"/>
          <w:szCs w:val="24"/>
          <w:lang w:val="ro-RO"/>
        </w:rPr>
      </w:pPr>
      <w:bookmarkStart w:id="58" w:name="_Toc340647382"/>
      <w:bookmarkStart w:id="59" w:name="_Toc41469119"/>
      <w:r>
        <w:rPr>
          <w:rFonts w:ascii="Verdana" w:hAnsi="Verdana" w:cs="Verdana"/>
          <w:i w:val="0"/>
          <w:iCs w:val="0"/>
          <w:sz w:val="24"/>
          <w:szCs w:val="24"/>
          <w:lang w:val="ro-RO"/>
        </w:rPr>
        <w:t>SECȚIUNEA 1</w:t>
      </w:r>
      <w:r>
        <w:rPr>
          <w:rFonts w:ascii="Verdana" w:hAnsi="Verdana" w:cs="Verdana"/>
          <w:i w:val="0"/>
          <w:iCs w:val="0"/>
          <w:sz w:val="24"/>
          <w:szCs w:val="24"/>
          <w:lang w:val="ro-RO"/>
        </w:rPr>
        <w:tab/>
        <w:t>Drepturile și obligațiile operatorilor serviciului</w:t>
      </w:r>
      <w:r>
        <w:rPr>
          <w:rFonts w:ascii="Verdana" w:hAnsi="Verdana" w:cs="Verdana"/>
          <w:i w:val="0"/>
          <w:iCs w:val="0"/>
          <w:sz w:val="24"/>
          <w:szCs w:val="24"/>
          <w:lang w:val="ro-RO"/>
        </w:rPr>
        <w:br/>
        <w:t>de salubrizare</w:t>
      </w:r>
      <w:bookmarkEnd w:id="56"/>
      <w:bookmarkEnd w:id="57"/>
      <w:bookmarkEnd w:id="58"/>
      <w:bookmarkEnd w:id="59"/>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7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serviciului de salubrizare vor acționa pentru implicarea deținătorilor de deșeuri în gestionarea eficientă a acestora și transformarea treptată a deținătorilor de deșeuri în "operatori activi de mediu", cel puțin la nivelul habitatului propriu.</w:t>
      </w:r>
    </w:p>
    <w:p>
      <w:pPr>
        <w:numPr>
          <w:ilvl w:val="0"/>
          <w:numId w:val="7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de colectare și transport vor asigura condițiile materiale pentru realizarea precolectării separate, în paralel cu conștientizarea utilizatorilor asupra tratării cu responsabilitate a problemei deșeurilor.</w:t>
      </w:r>
    </w:p>
    <w:p>
      <w:pPr>
        <w:numPr>
          <w:ilvl w:val="0"/>
          <w:numId w:val="7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Autoritățile administrației publice locale se vor implica în înființarea sistemelor de precolectare și colectare separată a deșeurilor menajere de la populație și de popularizare și instruire a acesteia privind condițiile de mediu, impactul deșeurilor asupra mediului, inclusiv în toate unitățile de învățământ pe care le gestionează.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Drepturile și obligațiile operatorului serviciului de salubrizare se constituie ca un capitol distinct în cadrul:</w:t>
      </w:r>
    </w:p>
    <w:p>
      <w:pPr>
        <w:numPr>
          <w:ilvl w:val="0"/>
          <w:numId w:val="2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regulamentului serviciului de salubrizare;</w:t>
      </w:r>
    </w:p>
    <w:p>
      <w:pPr>
        <w:numPr>
          <w:ilvl w:val="0"/>
          <w:numId w:val="2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contractului de delegare a gestiunii serviciului de salubrizare;</w:t>
      </w:r>
    </w:p>
    <w:p>
      <w:pPr>
        <w:numPr>
          <w:ilvl w:val="0"/>
          <w:numId w:val="2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contractului de prestare a serviciului de salubrizare pentru utilizatori, acolo unde acestea există.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color w:val="000000"/>
          <w:sz w:val="20"/>
          <w:szCs w:val="20"/>
          <w:lang w:val="ro-RO"/>
        </w:rPr>
      </w:pPr>
      <w:r>
        <w:rPr>
          <w:rFonts w:ascii="Verdana" w:hAnsi="Verdana" w:cs="Verdana"/>
          <w:sz w:val="20"/>
          <w:szCs w:val="20"/>
          <w:lang w:val="ro-RO"/>
        </w:rPr>
        <w:t>Operatorii serviciului de salubrizare au următoarele drepturi:</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săîncaseze contravaloarea serviciului de salubrizare prestat/contractat, corespunzător tarifului/taxeiaprobate de ADI INTERCOMDEȘEURI CARAȘ SEVERIN și de autoritățile administrației publice locale, determinată în conformitate cu normele metodologice elaborate și aprobate de A.N.R.S.C.;</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echilibrul contractual pe durata contractului de delegare a gestiunii;</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solicite ajustarea taxei în raport cu evoluția generală a prețurilor și tarifelor din economie;</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propună modificarea taxei aprobate în situațiile de schimbare semnificativă a echilibrului contractual;</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să aibă exclusivitatea prestării serviciului de salubrizare pentru toți utilizatorii din raza unității administrativ-teritoriale pentru care are contract de delegare a gestiunii;</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aplice la facturare tarifele/taxele aprobate de ADI INTERCOMDEȘEURICARAȘ SEVERIN și de autoritățile administrației publice locale;</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suspende sau să limiteze prestarea serviciului, fără plata vreunei penalizări, cu un preaviz de 5 zile lucrătoare, dacă sumele datorate nu au fost achitate integral după 60 de zile de la primirea facturii;</w:t>
      </w:r>
    </w:p>
    <w:p>
      <w:pPr>
        <w:numPr>
          <w:ilvl w:val="0"/>
          <w:numId w:val="2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solicite recuperarea debitelor în instanță.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serviciului de salubrizare au următoarele obligații:</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sățină gestiune separată pentru fiecare activitate în parte, pentru a se putea stabili tarife juste în concordanță cu cheltuielile efectuate;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prestarea serviciului de salubrizare conform prevederilor contractuale și cu respectarea prezentului regulament, prescripțiilor, normelor și normativelor tehnice în vigoare;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plătească despăgubiri persoanelor fizice sau juridice pentru prejudiciile provocate din culpă, inclusiv pentru restricțiile impuse deținătorilor de terenuri aflate în perimetrul zonelor de protecție instituite, conform prevederilor legale;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plătească despăgubiri pentru întreruperea nejustificată a prestării serviciului și să acorde bonificații procentuale din valoarea facturii utilizatorilor în cazul prestării serviciului sub parametrii de calitate și cantitate prevăzuți în contractele de delegare;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furnizeze ADI INTERCOMDEȘEURI CARAȘ SEVERIN, autorităților administrației publice locale, respectiv A.N.R.S.C., informațiile solicitate și să asigure accesul la documentele și documentațiile pe baza cărora prestează serviciul de salubrizare, în condițiile legii;</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săîncheie contracte de asigurare pentru pagubele aduse la infrastructura exploatată în desfășurarea activităților;</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dețină toate avizele, acordurile, autorizațiile și licențele necesare prestării activităților specifice serviciului de salubrizare, prevăzute de legislația în vigoare;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respecte angajamentele luate prin contractele de delegare a serviciului de salubrizare;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presteze serviciul de salubrizare la toți utilizatorii din raza unităților administrativ-teritoriale pentru care are contract de delegare a gestiunii, să colecteze întreaga cantitate de deșeuri municipale și fluxurile speciale și să lase în stare de curățenie spațiul destinat depozitării recipientelor de precolectare și domeniul public;</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să doteze punctele de colectare cu recipiente și/sau containere în cantități suficiente, cu respectarea normelor în vigoare;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sățină la zi, împreună cu ADI INTERCOMDEȘEURI CARAȘ SEVERIN și cu autoritățile administrației publice, evidența tuturor utilizatorilor în vederea decontării prestației direct din bugetul local, pe baza taxelor locale instituite în acest sens;</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respecte indicatorii de performanță stabiliți prin contractul de delegare a gestiunii și precizați în regulamentul serviciului de salubrizare, săîmbunătățească în mod continuu calitatea serviciilor prestate;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aplice metode performante de management care să conducă la reducerea costurilor specifice de operare;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acolo unde este necesar, să doteze utilizatorii cu mijloacele necesare colectării separate, în condițiile stabilite de prezentul regulament;</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verifice starea tehnică a mijloacelor de precolectare și să le înlocuiască pe cele care prezintă defecțiuni sau neetanșeități în maximum 24 de ore de la sesizare;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factureze serviciile prestate în conformitate cu procedurile proprii de facturare aprobate de autoritatea competentă, la tarifele legal aprobate;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săînființeze activitatea de dispecerat și de înregistrare a reclamațiilor, având un program de funcționare permanent;</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săînregistreze toate reclamațiile și sesizările utilizatorilor într-un registru și să ia măsurile de rezolvare ce se impun.Înregistru se vor consemna numele, prenumele persoanei care a reclamat și a primit reclamația, adresa reclamantului, data și ora reclamației, data și ora rezolvării, numărul de ordine al reclamației care va fi comunicat petentului. La sesizările scrise operatorul are obligația să răspundă în termen de maximum 30 de zile de la înregistrarea acestora;</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sățină evidența gestiunii deșeurilor și să raporteze periodic autorităților competente situația, conform reglementărilor în vigoare.</w:t>
      </w:r>
    </w:p>
    <w:p>
      <w:pPr>
        <w:numPr>
          <w:ilvl w:val="0"/>
          <w:numId w:val="2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Operatorii au obligația de a pune la dispoziția deținătorilor de deșeuri containerele/recipientele, precum și, după caz, sacii necesari realizării activității de precolectare separată a deșeurilor. Costurile de achiziționare a acestora se includ în tariful ofertat pentru prestarea activității de colectare separată și transportul separat al deșeurilor, dacă nu sunt puse la dispoziție de delegatar</w:t>
      </w:r>
      <w:r>
        <w:rPr>
          <w:rFonts w:ascii="Verdana" w:hAnsi="Verdana" w:cs="Verdana"/>
          <w:color w:val="FF0000"/>
          <w:sz w:val="20"/>
          <w:szCs w:val="20"/>
          <w:lang w:val="ro-RO"/>
        </w:rPr>
        <w:t>.</w:t>
      </w:r>
    </w:p>
    <w:p>
      <w:pPr>
        <w:pStyle w:val="Heading2"/>
        <w:spacing w:before="0" w:after="240" w:line="276" w:lineRule="auto"/>
        <w:jc w:val="both"/>
        <w:rPr>
          <w:rFonts w:ascii="Verdana" w:hAnsi="Verdana" w:cs="Verdana"/>
          <w:b w:val="0"/>
          <w:bCs w:val="0"/>
          <w:i w:val="0"/>
          <w:iCs w:val="0"/>
          <w:sz w:val="20"/>
          <w:szCs w:val="20"/>
          <w:lang w:val="ro-RO"/>
        </w:rPr>
      </w:pPr>
      <w:bookmarkStart w:id="60" w:name="_Toc180478996"/>
      <w:bookmarkStart w:id="61" w:name="_Toc180479045"/>
      <w:bookmarkStart w:id="62" w:name="_Toc340647383"/>
    </w:p>
    <w:p>
      <w:pPr>
        <w:rPr>
          <w:lang w:val="ro-RO"/>
        </w:rPr>
      </w:pPr>
    </w:p>
    <w:p>
      <w:pPr>
        <w:rPr>
          <w:lang w:val="ro-RO"/>
        </w:rPr>
      </w:pPr>
    </w:p>
    <w:p>
      <w:pPr>
        <w:rPr>
          <w:lang w:val="ro-RO"/>
        </w:rPr>
      </w:pPr>
    </w:p>
    <w:p>
      <w:pPr>
        <w:rPr>
          <w:lang w:val="ro-RO"/>
        </w:rPr>
      </w:pPr>
    </w:p>
    <w:p>
      <w:pPr>
        <w:pStyle w:val="Heading2"/>
        <w:spacing w:before="0" w:after="240" w:line="276" w:lineRule="auto"/>
        <w:jc w:val="both"/>
        <w:rPr>
          <w:rFonts w:ascii="Verdana" w:hAnsi="Verdana" w:cs="Verdana"/>
          <w:i w:val="0"/>
          <w:iCs w:val="0"/>
          <w:sz w:val="24"/>
          <w:szCs w:val="24"/>
          <w:lang w:val="ro-RO"/>
        </w:rPr>
      </w:pPr>
      <w:bookmarkStart w:id="63" w:name="_Toc41469120"/>
      <w:r>
        <w:rPr>
          <w:rFonts w:ascii="Verdana" w:hAnsi="Verdana" w:cs="Verdana"/>
          <w:i w:val="0"/>
          <w:iCs w:val="0"/>
          <w:sz w:val="24"/>
          <w:szCs w:val="24"/>
          <w:lang w:val="ro-RO"/>
        </w:rPr>
        <w:lastRenderedPageBreak/>
        <w:t>SECTIUNEA 2</w:t>
      </w:r>
      <w:r>
        <w:rPr>
          <w:rFonts w:ascii="Verdana" w:hAnsi="Verdana" w:cs="Verdana"/>
          <w:i w:val="0"/>
          <w:iCs w:val="0"/>
          <w:sz w:val="24"/>
          <w:szCs w:val="24"/>
          <w:lang w:val="ro-RO"/>
        </w:rPr>
        <w:tab/>
        <w:t>Drepturile și obligațiile utilizatorilor</w:t>
      </w:r>
      <w:bookmarkEnd w:id="60"/>
      <w:bookmarkEnd w:id="61"/>
      <w:bookmarkEnd w:id="62"/>
      <w:bookmarkEnd w:id="63"/>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1"/>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 funcţie de tipul activităţii, pot fi utilizatori ai serviciului de salubrizare:</w:t>
      </w:r>
    </w:p>
    <w:p>
      <w:pPr>
        <w:pStyle w:val="ListParagraph"/>
        <w:numPr>
          <w:ilvl w:val="0"/>
          <w:numId w:val="103"/>
        </w:numPr>
        <w:autoSpaceDE w:val="0"/>
        <w:autoSpaceDN w:val="0"/>
        <w:adjustRightInd w:val="0"/>
        <w:spacing w:after="240"/>
        <w:jc w:val="both"/>
        <w:rPr>
          <w:rFonts w:ascii="Verdana" w:hAnsi="Verdana" w:cs="Verdana"/>
          <w:sz w:val="20"/>
          <w:szCs w:val="20"/>
        </w:rPr>
      </w:pPr>
      <w:r>
        <w:rPr>
          <w:rFonts w:ascii="Verdana" w:hAnsi="Verdana" w:cs="Verdana"/>
          <w:sz w:val="20"/>
          <w:szCs w:val="20"/>
        </w:rPr>
        <w:t xml:space="preserve">comunitățile locale considerate în întregul lor sau comunitățile locale componente ale asociației de dezvoltare intercomunitară ADI INTERCOMCARAȘ-SEVERIN, în cazul activităților specifice serviciului public de salubrizare prestate de către operatori a căror contravaloare se achită de autoritățile administrației publice locale de la bugetul local. </w:t>
      </w:r>
    </w:p>
    <w:p>
      <w:pPr>
        <w:pStyle w:val="ListParagraph"/>
        <w:numPr>
          <w:ilvl w:val="0"/>
          <w:numId w:val="103"/>
        </w:numPr>
        <w:autoSpaceDE w:val="0"/>
        <w:autoSpaceDN w:val="0"/>
        <w:adjustRightInd w:val="0"/>
        <w:spacing w:after="240"/>
        <w:jc w:val="both"/>
        <w:rPr>
          <w:rFonts w:ascii="Verdana" w:hAnsi="Verdana" w:cs="Verdana"/>
          <w:sz w:val="20"/>
          <w:szCs w:val="20"/>
        </w:rPr>
      </w:pPr>
      <w:r>
        <w:rPr>
          <w:rFonts w:ascii="Verdana" w:hAnsi="Verdana" w:cs="Verdana"/>
          <w:sz w:val="20"/>
          <w:szCs w:val="20"/>
        </w:rPr>
        <w:t>persoanele fizice (utilizatori casnici) ori juridice (utilizatori non-casnici) carebeneficiază individual de una sau de mai multe activități specifice serviciului de salubrizare, în cazul activităților a căror contractare se realizează pe baza unui contract de prestare a serviciului de salubrizare, încheiat în nume propriu cu operatorul licențiat pentru prestarea serviciului în unitatea administrativ-teritorială.</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au următoarele drepturi:</w:t>
      </w:r>
    </w:p>
    <w:p>
      <w:pPr>
        <w:numPr>
          <w:ilvl w:val="0"/>
          <w:numId w:val="27"/>
        </w:numPr>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să utilizeze, liber și nediscriminatoriu, serviciul de salubrizare, în condițiile contractelor de delegare;</w:t>
      </w:r>
    </w:p>
    <w:p>
      <w:pPr>
        <w:numPr>
          <w:ilvl w:val="0"/>
          <w:numId w:val="27"/>
        </w:numPr>
        <w:autoSpaceDE w:val="0"/>
        <w:autoSpaceDN w:val="0"/>
        <w:adjustRightInd w:val="0"/>
        <w:spacing w:after="240" w:line="276" w:lineRule="auto"/>
        <w:ind w:left="720"/>
        <w:jc w:val="both"/>
        <w:rPr>
          <w:rFonts w:ascii="Verdana" w:hAnsi="Verdana" w:cs="Verdana"/>
          <w:sz w:val="20"/>
          <w:szCs w:val="20"/>
          <w:lang w:val="ro-RO"/>
        </w:rPr>
      </w:pPr>
      <w:r>
        <w:rPr>
          <w:rFonts w:ascii="Verdana" w:hAnsi="Verdana" w:cs="Verdana"/>
          <w:sz w:val="20"/>
          <w:szCs w:val="20"/>
          <w:lang w:val="ro-RO"/>
        </w:rPr>
        <w:t>să solicite și să primească, în condițiile legii și ale contractelor de delegare, despăgubiri sau compensații pentru daunele provocate lor de către operatori prin nerespectarea obligațiilor contractuale asumate ori prin prestarea unor servicii inferioare, calitativ și cantitativ, parametrilor tehnici stabiliți prin contract sau prin normele tehnice în vigoare;</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sesizeze autorităților administrației publice locale și altor autoritățicompetente orice deficiențe constatate în sfera serviciului de salubrizare și să facă propuneri vizând înlăturarea acestora, îmbunătățirea activității și creșterea calității serviciului;</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se asocieze în organizații neguvernamentale pentru apărarea, promovarea și susținerea intereselor proprii;</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primească și să utilizeze informații privind serviciul de salubrizare, despre deciziile luate în legătură cu acest serviciu de către autoritățile administrației publice locale, A.N.R.S.C. sau operator, după caz;</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fie consultați, direct sau prin intermediul unor organizații neguvernamentale reprezentative, în procesul de elaborare și adoptare a deciziilor, strategiilor și reglementărilor privind activitățile din sectorul serviciului de salubrizare;</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se adreseze, individual ori colectiv, prin intermediul unor asociații reprezentative, autorității administrației publice locale, în vederea prevenirii sau reparării unui prejudiciu direct ori indirect;</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să li se presteze serviciul de salubrizare în condițiile prezentului regulament, ale celorlalte acte normative în vigoare, la nivelurile stabilite în contractele de delegare;</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conteste facturile când constatăîncălcarea prevederilor contractuale;</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primească răspuns în maximum 30 de zile la sesizările adresate operatorilor, ADI INTERCOMDEȘEURI CARAȘ SEVERIN sau autorităților administrațiilor publice locale cu privire la neîndeplinirea unor condiții contractuale;</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acolo unde este cazul, să fie dotați de operatori cu recipiente de precolectare adecvate mijloacelor de încărcare și de transport ale acestora;</w:t>
      </w:r>
    </w:p>
    <w:p>
      <w:pPr>
        <w:numPr>
          <w:ilvl w:val="0"/>
          <w:numId w:val="2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utilizatorilor le este garantat dreptul de acces la serviciul de salubrizare și de utilizare a acestuia.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au următoarele obligații:</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respecte prevederile prezentului regulament și clauzele contractelor de delegare a serviciului de salubrizare;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achite în termenele stabilite obligațiile de plată, în conformitate cu prevederile contractelor de delegare a serviciului de salubrizare;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accesul utilajelor de colectare a deșeurilor la punctele de colectare;</w:t>
      </w:r>
    </w:p>
    <w:p>
      <w:pPr>
        <w:numPr>
          <w:ilvl w:val="0"/>
          <w:numId w:val="28"/>
        </w:numPr>
        <w:autoSpaceDE w:val="0"/>
        <w:autoSpaceDN w:val="0"/>
        <w:adjustRightInd w:val="0"/>
        <w:spacing w:after="240" w:line="276" w:lineRule="auto"/>
        <w:jc w:val="both"/>
        <w:rPr>
          <w:rFonts w:ascii="Verdana" w:hAnsi="Verdana" w:cs="Verdana"/>
          <w:strike/>
          <w:sz w:val="20"/>
          <w:szCs w:val="20"/>
          <w:lang w:val="ro-RO"/>
        </w:rPr>
      </w:pPr>
      <w:r>
        <w:rPr>
          <w:rFonts w:ascii="Verdana" w:hAnsi="Verdana" w:cs="Verdana"/>
          <w:sz w:val="20"/>
          <w:szCs w:val="20"/>
          <w:lang w:val="ro-RO"/>
        </w:rPr>
        <w:t xml:space="preserve">să asigure precolectarea separată, în recipientele asigurate de operatorul serviciului, distinct inscripționate și amplasate în spații special amenajate, a deșeurilor pe care le-au generat în propria gospodărie sau ca urmare a activităților lucrative pe care le desfășoară; </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accepte limitarea temporară a prestării serviciului ca urmare a execuției unor lucrări prevăzute în programele de reabilitare, extindere și modernizare a infrastructurii tehnico-edilitare;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respecte normele de igienă și sănătate publică stabilite prin actele normative în vigoare;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execute operațiunea de precolectare în recipientele cu care sunt dotate punctele de colectare, în conformitate cu sistemul de colectare stabilit de autoritățile administrației publice locale și prevăzute în contractele de delegare;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mențină în stare de curățenie spațiile în care se face precolectarea, precum și recipientele în care se colectează separat deșeurile;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execute operațiunea de precolectare în condiții de maximă siguranță din punct de vedere al sănătății locuitorilor și al protecției mediului, astfel încât să nu producă poluare fonică, miros neplăcut și răspândirea de deșeuri;</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t>să nu introducă în recipientele de precolectare deșeuri din categoria celor cu regim special (periculoase, toxice, explozive), animaliere, provenite din construcții și desființări, din toaletarea pomilor sau curățarea și întreținerea spațiilor verzi ori provenite din diverse procese tehnologice care fac obiectul unor tratamente speciale, autorizate de direcțiile sanitare veterinare sau de autoritățile de mediu;</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colecteze separat deșeurile în  recipiente corespunzătoare, menținând un grad de impurificare cât mai scăzut a deșeurilor colectate separat;</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curățenia incintelor proprii, precum și a zonelor cuprinse între imobil și domeniul public (până la limita de proprietate); autoritățile administrației publice locale se vor îngriji de salubrizarea spațiilor aflate în proprietatea publică sau privată a lor;</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asigure curățenia locurilor de parcare pe care le au în folosință din domeniul public, dacă este cazul, și să nu efectueze spălarea autovehiculelor sau reparații care pot produce scurgerea uleiurilor, carburanților și lubrifianților;</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nu arunce deșeuri municipale și obiecte de uz casnic pe străzi, în parcuri, pe terenuri virane sau în coșurile de hârtii amplasate pe domeniul public ori în locuri publice;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depoziteze hârtiile și resturile mărunte de ambalaje care se produc cu ocazia utilizării mijloacelor de transport și a activității desfășurate pe străzile localității în coșurile amplasate de operatori de-a lungul străzilor, în parcuri și alte asemenea locuri;</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mențină curățenia pe trotuare, pe partea carosabilă a străzii sau a drumului, pe porțiunea din dreptul condominiului, gospodăriei și a locurilor de parcare pe care le folosesc;</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săîndepărteze zăpada și gheața de pe trotuarele din dreptul imobilelor în care locuiesc;</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să păstreze curățenia pe arterele de circulație, în piețe, târguri și oboare, în parcuri, locuri de joacă pentru copii și în alte locuri publice;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casnici și non-casnici din mediul urban și utilizatorii non-casnici din mediul rural au obligația de a încheia contracte pentru serviciile de salubrizare prestate și a achita operatorilor de colectare și transport contravaloarea facturilor emise;</w:t>
      </w:r>
    </w:p>
    <w:p>
      <w:pPr>
        <w:numPr>
          <w:ilvl w:val="0"/>
          <w:numId w:val="2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casnici din mediul rural au obligația de a achita taxa specială de salubrizare stabilită și aprobată de către ADI INTERCOMDEȘEURI CARAȘ SEVERIN și de o achita la sediul primăriilor unităților administrativ-teritoriale.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serviciului de salubrizare au obligația de a colecta deșeurile conform cerințelor minime prevăzute în art. 18.</w:t>
      </w: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lastRenderedPageBreak/>
        <w:br w:type="page"/>
      </w:r>
    </w:p>
    <w:p>
      <w:pPr>
        <w:pStyle w:val="StyleHeading1Verdana14ptCenteredBefore0ptAfter"/>
        <w:spacing w:after="240" w:line="276" w:lineRule="auto"/>
        <w:rPr>
          <w:lang w:val="ro-RO"/>
        </w:rPr>
      </w:pPr>
      <w:bookmarkStart w:id="64" w:name="_Toc180478997"/>
      <w:bookmarkStart w:id="65" w:name="_Toc180479046"/>
      <w:bookmarkStart w:id="66" w:name="_Toc41469121"/>
      <w:r>
        <w:rPr>
          <w:lang w:val="ro-RO"/>
        </w:rPr>
        <w:lastRenderedPageBreak/>
        <w:t>CAPITOLUL IV</w:t>
      </w:r>
      <w:r>
        <w:rPr>
          <w:lang w:val="ro-RO"/>
        </w:rPr>
        <w:tab/>
        <w:t>DETERMINAREA CANTITĂȚILORȘIVOLUMULUI DE LUCRĂRI PRESTATE</w:t>
      </w:r>
      <w:bookmarkEnd w:id="64"/>
      <w:bookmarkEnd w:id="65"/>
      <w:bookmarkEnd w:id="66"/>
    </w:p>
    <w:p>
      <w:pPr>
        <w:autoSpaceDE w:val="0"/>
        <w:autoSpaceDN w:val="0"/>
        <w:adjustRightInd w:val="0"/>
        <w:spacing w:after="240" w:line="276" w:lineRule="auto"/>
        <w:ind w:firstLine="357"/>
        <w:jc w:val="both"/>
        <w:rPr>
          <w:rFonts w:ascii="Arial" w:hAnsi="Arial" w:cs="Arial"/>
          <w:sz w:val="22"/>
          <w:szCs w:val="22"/>
          <w:lang w:val="ro-RO"/>
        </w:rPr>
      </w:pPr>
      <w:bookmarkStart w:id="67" w:name="_Hlk27567373"/>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Utilizatorii casnici și non-casnici din mediul urban și utilizatorii non-casnici din mediul ruralvor plăti serviciul prin tarifele stabilite de către ADI INTERCOMCARAȘ-SEVERIN prin contractul de delegare a serviciului de salubrizare.</w:t>
      </w:r>
    </w:p>
    <w:p>
      <w:pPr>
        <w:numPr>
          <w:ilvl w:val="0"/>
          <w:numId w:val="8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 xml:space="preserve">În  primul an de contract utilizatorii casnici din mediul rural vor </w:t>
      </w:r>
      <w:bookmarkStart w:id="68" w:name="_Hlk27567730"/>
      <w:r>
        <w:rPr>
          <w:rFonts w:ascii="Verdana" w:hAnsi="Verdana" w:cs="Verdana"/>
          <w:sz w:val="20"/>
          <w:szCs w:val="20"/>
          <w:lang w:val="ro-RO"/>
        </w:rPr>
        <w:t>plăti</w:t>
      </w:r>
      <w:bookmarkEnd w:id="68"/>
      <w:r>
        <w:rPr>
          <w:rFonts w:ascii="Verdana" w:hAnsi="Verdana" w:cs="Verdana"/>
          <w:sz w:val="20"/>
          <w:szCs w:val="20"/>
          <w:lang w:val="ro-RO"/>
        </w:rPr>
        <w:t xml:space="preserve"> serviciul prin taxa specială de salubrizare instituită de către unitatea administrativ-teritorială aferentă. Taxa specială de salubrizare va fi calculată în conformitate cu prevederile Regulamentului cadru de instituire și administrare a taxei speciale de salubrizare.</w:t>
      </w:r>
    </w:p>
    <w:p>
      <w:pPr>
        <w:numPr>
          <w:ilvl w:val="0"/>
          <w:numId w:val="82"/>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Începândcu al doilea an de contract, pentru serviciile prestate pentru populația din mediul rural Operatorii vor încasa contravaloarea acestora din tarife, în baza contractelor individuale încheiate cu utilizatorii.</w:t>
      </w:r>
    </w:p>
    <w:bookmarkEnd w:id="67"/>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Determinarea cantităților de deșeuri din construcții și desființăriprovenite din gospodăriile populației se face numai prin cântărire.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color w:val="0000FF"/>
          <w:sz w:val="20"/>
          <w:szCs w:val="20"/>
          <w:lang w:val="ro-RO"/>
        </w:rPr>
      </w:pPr>
      <w:r>
        <w:rPr>
          <w:rFonts w:ascii="Verdana" w:hAnsi="Verdana" w:cs="Verdana"/>
          <w:sz w:val="20"/>
          <w:szCs w:val="20"/>
          <w:lang w:val="ro-RO"/>
        </w:rPr>
        <w:t>Determinarea cantităților de deșeuri primite la instalațiile de gestionare a deșeurilor (stații de  transfer, stația de sortare, instalația de tratare mecano-biologică și depozit) se face numai prin cântărire.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Reprezentantul autorității administrației publice locale va controla prin sondaj și/sau ca urmare a sesizărilor venite din partea populației activitatea depusă de operator, iar în cazul în care rezultă neconformități se încheie un proces-verbal de constatare privind neefectuarea lucrării sau calitatea necorespunzătoare a acesteia.</w:t>
      </w:r>
    </w:p>
    <w:p>
      <w:pPr>
        <w:numPr>
          <w:ilvl w:val="0"/>
          <w:numId w:val="83"/>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Pe baza procesului-verbal de constatare, autoritatea administrației publice locale aplică penalitățile menționate în contractul de delegare a gestiunii încheiat cu operatorul, acestea reprezentând unități procentuale din valoarea lunară totală a contractului.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Modalitățile de determinare a cantităților, cât și modul de facturare vor face parte din procedura proprie de facturare, întocmită de operator și aprobată de A.N.R.S.C, precum și pe baza prevederilor Regulamentului cadru de instituire și administrare a taxei speciale de salubrizare.</w:t>
      </w:r>
    </w:p>
    <w:p>
      <w:pPr>
        <w:autoSpaceDE w:val="0"/>
        <w:autoSpaceDN w:val="0"/>
        <w:adjustRightInd w:val="0"/>
        <w:spacing w:after="240" w:line="276" w:lineRule="auto"/>
        <w:jc w:val="both"/>
        <w:rPr>
          <w:rFonts w:ascii="Verdana" w:hAnsi="Verdana" w:cs="Verdana"/>
          <w:color w:val="000000"/>
          <w:sz w:val="20"/>
          <w:szCs w:val="20"/>
          <w:lang w:val="ro-RO"/>
        </w:rPr>
      </w:pPr>
    </w:p>
    <w:p>
      <w:pPr>
        <w:autoSpaceDE w:val="0"/>
        <w:autoSpaceDN w:val="0"/>
        <w:adjustRightInd w:val="0"/>
        <w:spacing w:after="240" w:line="276" w:lineRule="auto"/>
        <w:jc w:val="both"/>
        <w:rPr>
          <w:rFonts w:ascii="Verdana" w:hAnsi="Verdana" w:cs="Verdana"/>
          <w:color w:val="000000"/>
          <w:sz w:val="20"/>
          <w:szCs w:val="20"/>
          <w:lang w:val="ro-RO"/>
        </w:rPr>
        <w:sectPr>
          <w:pgSz w:w="11909" w:h="16834" w:code="9"/>
          <w:pgMar w:top="1440" w:right="1440" w:bottom="1440" w:left="1440" w:header="709" w:footer="709" w:gutter="0"/>
          <w:cols w:space="708"/>
          <w:docGrid w:linePitch="360"/>
        </w:sectPr>
      </w:pPr>
    </w:p>
    <w:p>
      <w:pPr>
        <w:pStyle w:val="StyleHeading1Verdana14ptCenteredBefore0ptAfter"/>
        <w:spacing w:after="240" w:line="276" w:lineRule="auto"/>
        <w:rPr>
          <w:lang w:val="ro-RO"/>
        </w:rPr>
      </w:pPr>
      <w:bookmarkStart w:id="69" w:name="_Toc180478998"/>
      <w:bookmarkStart w:id="70" w:name="_Toc180479047"/>
      <w:bookmarkStart w:id="71" w:name="_Toc41469122"/>
      <w:r>
        <w:rPr>
          <w:lang w:val="ro-RO"/>
        </w:rPr>
        <w:lastRenderedPageBreak/>
        <w:t>CAPITOLUL V</w:t>
      </w:r>
      <w:r>
        <w:rPr>
          <w:lang w:val="ro-RO"/>
        </w:rPr>
        <w:tab/>
        <w:t>INDICATORI DE PERFORMANȚĂ ȘI DE EVALUARE AI SERVICIULUI DE SALUBRIZARE</w:t>
      </w:r>
      <w:bookmarkEnd w:id="69"/>
      <w:bookmarkEnd w:id="70"/>
      <w:bookmarkEnd w:id="71"/>
    </w:p>
    <w:p>
      <w:pPr>
        <w:autoSpaceDE w:val="0"/>
        <w:autoSpaceDN w:val="0"/>
        <w:adjustRightInd w:val="0"/>
        <w:spacing w:after="240" w:line="276" w:lineRule="auto"/>
        <w:jc w:val="both"/>
        <w:rPr>
          <w:rFonts w:ascii="Verdana" w:hAnsi="Verdana" w:cs="Verdana"/>
          <w:b/>
          <w:bCs/>
          <w:sz w:val="22"/>
          <w:szCs w:val="22"/>
          <w:highlight w:val="yellow"/>
          <w:lang w:val="ro-RO"/>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ADI INTERCOMDEȘEURI CARAȘ SEVERIN stabilește și aprobă valorile indicatorilor de performanță ai serviciului de salubrizare.</w:t>
      </w:r>
    </w:p>
    <w:p>
      <w:pPr>
        <w:numPr>
          <w:ilvl w:val="0"/>
          <w:numId w:val="8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Indicatorii de performanță ai serviciului de salubrizare sunt cei prevăzuți în Anexa nr. 1 la prezentul Regulament de salubrizare.</w:t>
      </w:r>
    </w:p>
    <w:p>
      <w:pPr>
        <w:numPr>
          <w:ilvl w:val="0"/>
          <w:numId w:val="8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ADI INTERCOMDEȘEURI CARAȘ SEVERIN și autoritățile administrației publice locale monitorizează realizarea de către operatori a indicatorilor de performanță ai serviciului, a clauzelor contractuale și respectarea legislației în vigoare referitoare la serviciul de salubrizare.</w:t>
      </w:r>
    </w:p>
    <w:p>
      <w:pPr>
        <w:numPr>
          <w:ilvl w:val="0"/>
          <w:numId w:val="84"/>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ADI INTERCOMDEȘEURI CARAȘ SEVERINaplică penalități contractuale operatorilor serviciului de salubrizare în cazul în care acesta nu prestează serviciul la parametrii de eficiență și calitate la care s-a obligat ori nu respectă indicatorii de performanță ai serviciului.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Indicatorii de performanță stabilesc condițiile ce trebuie respectate de operatori pentru asigurarea serviciului de salubrizare a localităților.</w:t>
      </w:r>
    </w:p>
    <w:p>
      <w:pPr>
        <w:numPr>
          <w:ilvl w:val="0"/>
          <w:numId w:val="85"/>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Realizarea indicatorilor de performanță asigură condițiile pe care trebuie să le îndeplinească serviciul de salubrizare, avându-se în vedere:</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continuitatea din punct de vedere cantitativ și calitativ;</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prestarea serviciului pentru toți utilizatorii din aria sa de responsabilitate;</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adaptarea permanentă la cerințele utilizatorilor;</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excluderea oricărei discriminări privind accesul la serviciile de salubrizare;</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respectarea reglementărilor specifice din domeniul protecției mediului și al sănătățiipopulației;</w:t>
      </w:r>
    </w:p>
    <w:p>
      <w:pPr>
        <w:numPr>
          <w:ilvl w:val="0"/>
          <w:numId w:val="104"/>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implementarea unor sisteme de management al calității, al mediului și al sănătății și securității muncii.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color w:val="000000"/>
          <w:sz w:val="20"/>
          <w:szCs w:val="20"/>
          <w:lang w:val="ro-RO"/>
        </w:rPr>
        <w:t>Indicatorii de performanță pentru serviciul de salubrizare se referă la următoareleactivități</w:t>
      </w:r>
      <w:r>
        <w:rPr>
          <w:rFonts w:ascii="Verdana" w:hAnsi="Verdana" w:cs="Verdana"/>
          <w:sz w:val="20"/>
          <w:szCs w:val="20"/>
          <w:lang w:val="ro-RO"/>
        </w:rPr>
        <w:t>:</w:t>
      </w:r>
    </w:p>
    <w:p>
      <w:pPr>
        <w:numPr>
          <w:ilvl w:val="0"/>
          <w:numId w:val="80"/>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colectarea și transportul deșeurilor;</w:t>
      </w:r>
    </w:p>
    <w:p>
      <w:pPr>
        <w:numPr>
          <w:ilvl w:val="0"/>
          <w:numId w:val="80"/>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lastRenderedPageBreak/>
        <w:t>tratarea deșeurilor (sortare și tratare mecano-biologică);</w:t>
      </w:r>
    </w:p>
    <w:p>
      <w:pPr>
        <w:numPr>
          <w:ilvl w:val="0"/>
          <w:numId w:val="80"/>
        </w:num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eliminarea deșeurilor</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Învederea urmăririi respectării indicatorilor de performanță, operatorii de salubrizare trebuie să asigure:</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gestiunea serviciului de salubrizare conform prevederilor contractuale;</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gradul asigurării colectării separate a deșeurilor de la populație. Pentru creșterea gradului de colectare separată a deșeurilor, respectiv creșterea ratei de capturare a deșeurilor reciclabile (hârtie/carton, plastic/metal și sticlă) se recomandă implementarea instrumentului „plătește pentru cât arunci” prin cel puțin una din metodele prevăzute în OUG 74/2018 (volum, saci personalizați, frecvență, greutate).</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gradul asigurării cu recipiente de precolectare a utilizatorilor;</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evidența clară și corectă a utilizatorilor;</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înregistrarea activităților privind măsurarea prestațiilor, facturarea și încasarea contravalorii serviciilor efectuate;</w:t>
      </w:r>
    </w:p>
    <w:p>
      <w:pPr>
        <w:numPr>
          <w:ilvl w:val="0"/>
          <w:numId w:val="29"/>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înregistrarea reclamațiilor și sesizărilor utilizatorilor și modul de soluționare a acestora.</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pStyle w:val="ListParagraph"/>
        <w:numPr>
          <w:ilvl w:val="0"/>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În conformitate cu prevederile legislației în vigoare, utilizatorii serviciului de salubrizare au opțiunea aplicării instrumentului „plătește pentru cât arunci” în vederea stimulării prevenirii generării deșeurilor și colectării separate a deșeurilor reciclabile, instrument care se poate aplica atât pentru deșeurile reziduale din deșeurile menajere cât și pentru deșeurile reziduale din deșeurile similare.</w:t>
      </w:r>
    </w:p>
    <w:p>
      <w:pPr>
        <w:pStyle w:val="ListParagraph"/>
        <w:numPr>
          <w:ilvl w:val="0"/>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Aplicarea instrumentului „plătește pentru cât arunci” pentru utilizatorii casnici (populație) constă în:</w:t>
      </w:r>
    </w:p>
    <w:p>
      <w:pPr>
        <w:pStyle w:val="ListParagraph"/>
        <w:numPr>
          <w:ilvl w:val="1"/>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În mediul rural: posibilitatea reducerii frecvenței de colectare a deșeurilor reziduale;</w:t>
      </w:r>
    </w:p>
    <w:p>
      <w:pPr>
        <w:pStyle w:val="ListParagraph"/>
        <w:numPr>
          <w:ilvl w:val="1"/>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În mediul urban, zona de case: posibilitatea optării pentru un recipient de colectare a deșeurilor reziduale de capacitate mai mică pentru (la înlocuirea recipientelor existente) sau  reducerea frecvenței de colectare a deșeurilor reziduale;</w:t>
      </w:r>
    </w:p>
    <w:p>
      <w:pPr>
        <w:pStyle w:val="ListParagraph"/>
        <w:numPr>
          <w:ilvl w:val="1"/>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În mediul urban, zona de blocuri: posibilitatea reducerii numărului de recipiente pentru colectarea deșeurilor reziduale.</w:t>
      </w:r>
    </w:p>
    <w:p>
      <w:pPr>
        <w:autoSpaceDE w:val="0"/>
        <w:autoSpaceDN w:val="0"/>
        <w:adjustRightInd w:val="0"/>
        <w:spacing w:after="240" w:line="276" w:lineRule="auto"/>
        <w:jc w:val="both"/>
        <w:rPr>
          <w:lang w:val="ro-RO"/>
        </w:rPr>
      </w:pPr>
      <w:r>
        <w:rPr>
          <w:rFonts w:ascii="Verdana" w:hAnsi="Verdana" w:cs="Verdana"/>
          <w:sz w:val="20"/>
          <w:szCs w:val="20"/>
          <w:lang w:val="ro-RO"/>
        </w:rPr>
        <w:t xml:space="preserve">Utilizatorii casnici, care solicită aplicarea instrumentului, vor beneficia de reducere a taxei/tarifului de salubrizare. Mecanismul privind implementarea instrumentului și nivelul </w:t>
      </w:r>
      <w:r>
        <w:rPr>
          <w:rFonts w:ascii="Verdana" w:hAnsi="Verdana" w:cs="Verdana"/>
          <w:sz w:val="20"/>
          <w:szCs w:val="20"/>
          <w:lang w:val="ro-RO"/>
        </w:rPr>
        <w:lastRenderedPageBreak/>
        <w:t>taxei de salubrizare în cazul beneficiarilor care achită contravaloarea serviciului de salubrizare prin taxă va fi prezentat în Regulamentul de implementare a taxei de salubrizare.</w:t>
      </w:r>
    </w:p>
    <w:p>
      <w:pPr>
        <w:pStyle w:val="ListParagraph"/>
        <w:numPr>
          <w:ilvl w:val="0"/>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Aplicarea instrumentului „plătește pentru cât arunci” pentru utilizatorii non-casnici se va face în funcție de volumul recipientelor de colectare a deșeurilor reziduale.</w:t>
      </w:r>
    </w:p>
    <w:p>
      <w:pPr>
        <w:pStyle w:val="ListParagraph"/>
        <w:autoSpaceDE w:val="0"/>
        <w:autoSpaceDN w:val="0"/>
        <w:adjustRightInd w:val="0"/>
        <w:spacing w:after="240"/>
        <w:ind w:left="360"/>
        <w:jc w:val="both"/>
        <w:rPr>
          <w:rFonts w:ascii="Verdana" w:hAnsi="Verdana" w:cs="Verdana"/>
          <w:sz w:val="20"/>
          <w:szCs w:val="20"/>
        </w:rPr>
      </w:pPr>
    </w:p>
    <w:p>
      <w:pPr>
        <w:pStyle w:val="ListParagraph"/>
        <w:numPr>
          <w:ilvl w:val="0"/>
          <w:numId w:val="92"/>
        </w:numPr>
        <w:autoSpaceDE w:val="0"/>
        <w:autoSpaceDN w:val="0"/>
        <w:adjustRightInd w:val="0"/>
        <w:spacing w:after="240"/>
        <w:jc w:val="both"/>
        <w:rPr>
          <w:rFonts w:ascii="Verdana" w:hAnsi="Verdana" w:cs="Verdana"/>
          <w:sz w:val="20"/>
          <w:szCs w:val="20"/>
        </w:rPr>
      </w:pPr>
      <w:r>
        <w:rPr>
          <w:rFonts w:ascii="Verdana" w:hAnsi="Verdana" w:cs="Verdana"/>
          <w:sz w:val="20"/>
          <w:szCs w:val="20"/>
        </w:rPr>
        <w:t>În vederea aplicării instrumentului „plătește pentru cât arunci”, toți operatorii de colectare și transport vor stabili în perioada de mobilizare, tariful redus aplicabil utilizatorilor casnici și non-casnici, care optează pentru implementarea acestui principiu și vor asigura comunicarea în perioada de operare a cuantumului acestui tarif.</w:t>
      </w:r>
    </w:p>
    <w:p>
      <w:pPr>
        <w:pStyle w:val="ListParagraph"/>
        <w:rPr>
          <w:rFonts w:ascii="Verdana" w:hAnsi="Verdana" w:cs="Verdana"/>
          <w:sz w:val="20"/>
          <w:szCs w:val="20"/>
        </w:rPr>
      </w:pP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b/>
          <w:bCs/>
          <w:color w:val="000000"/>
          <w:sz w:val="20"/>
          <w:szCs w:val="20"/>
          <w:lang w:val="ro-RO"/>
        </w:rPr>
      </w:pPr>
      <w:r>
        <w:rPr>
          <w:rFonts w:ascii="Verdana" w:hAnsi="Verdana" w:cs="Verdana"/>
          <w:sz w:val="20"/>
          <w:szCs w:val="20"/>
          <w:lang w:val="ro-RO"/>
        </w:rPr>
        <w:t>Înconformitate cu competențele și atribuțiile legale ce le revin, ADI INTERCOMDEȘEURI, autoritățile administrației publice centrale și locale, precum și A.N.R.S.C., au acces neîngrădit la informații necesare stabilirii:</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modului de aplicare a legislației și a normelor emise de A.N.R.S.C.;</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modului de respectare și îndeplinire a obligațiilor contractuale asumate;</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calității și eficienței serviciilor prestate la nivelul indicatorilor de performanță stabiliți în contractele de delegare a gestiunii;</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modului de administrare, exploatare, conservare și menținere în funcțiune, dezvoltare și/sau modernizare a sistemelor publice din infrastructura edilitar-urbanăîncredințată prin contractele de delegare a gestiunii;</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modului de formare și stabilire a tarifelor pentru serviciul de salubrizare;</w:t>
      </w:r>
    </w:p>
    <w:p>
      <w:pPr>
        <w:numPr>
          <w:ilvl w:val="0"/>
          <w:numId w:val="30"/>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respectării parametrilor ceruți prin prescripțiile tehnice și a normelor metodologice.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Indicatorii de performanță și de evaluare ai serviciului de salubrizare sunt cuantificați cantitativ, adaptați la specificul localităților și sunt prevăzuți în Anexa nr. 1 a prezentului Regulament.</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Indicatorii de performanță din anexa la prezentul regulament au caracter minimal și pot fi suplimentați conform prevederilor legale.</w:t>
      </w: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autoSpaceDE w:val="0"/>
        <w:autoSpaceDN w:val="0"/>
        <w:adjustRightInd w:val="0"/>
        <w:spacing w:after="240" w:line="276" w:lineRule="auto"/>
        <w:ind w:firstLine="357"/>
        <w:jc w:val="both"/>
        <w:rPr>
          <w:rFonts w:ascii="Verdana" w:hAnsi="Verdana" w:cs="Verdana"/>
          <w:sz w:val="20"/>
          <w:szCs w:val="20"/>
          <w:lang w:val="ro-RO"/>
        </w:rPr>
      </w:pPr>
    </w:p>
    <w:p>
      <w:pPr>
        <w:pStyle w:val="StyleHeading1Verdana14ptCenteredBefore0ptAfter"/>
        <w:spacing w:after="240" w:line="276" w:lineRule="auto"/>
        <w:rPr>
          <w:lang w:val="ro-RO"/>
        </w:rPr>
      </w:pPr>
      <w:bookmarkStart w:id="72" w:name="_Toc180478999"/>
      <w:bookmarkStart w:id="73" w:name="_Toc180479048"/>
      <w:bookmarkStart w:id="74" w:name="_Toc41469123"/>
      <w:r>
        <w:rPr>
          <w:lang w:val="ro-RO"/>
        </w:rPr>
        <w:t>CAPITOLUL VI</w:t>
      </w:r>
      <w:r>
        <w:rPr>
          <w:lang w:val="ro-RO"/>
        </w:rPr>
        <w:tab/>
        <w:t>CONTRACTE DE PRESTARE A SERVICIILOR DE SALUBRIZARE</w:t>
      </w:r>
      <w:bookmarkEnd w:id="72"/>
      <w:bookmarkEnd w:id="73"/>
      <w:bookmarkEnd w:id="74"/>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Prestarea serviciilor de salubrizare se va face numai pe bază de contractede delegare încheiateîntre:</w:t>
      </w:r>
    </w:p>
    <w:p>
      <w:pPr>
        <w:numPr>
          <w:ilvl w:val="1"/>
          <w:numId w:val="105"/>
        </w:numPr>
        <w:autoSpaceDE w:val="0"/>
        <w:autoSpaceDN w:val="0"/>
        <w:adjustRightInd w:val="0"/>
        <w:spacing w:after="240" w:line="276" w:lineRule="auto"/>
        <w:ind w:left="1134"/>
        <w:jc w:val="both"/>
        <w:rPr>
          <w:rFonts w:ascii="Verdana" w:hAnsi="Verdana" w:cs="Verdana"/>
          <w:sz w:val="20"/>
          <w:szCs w:val="20"/>
          <w:lang w:val="ro-RO"/>
        </w:rPr>
      </w:pPr>
      <w:r>
        <w:rPr>
          <w:rFonts w:ascii="Verdana" w:hAnsi="Verdana" w:cs="Verdana"/>
          <w:sz w:val="20"/>
          <w:szCs w:val="20"/>
          <w:lang w:val="ro-RO"/>
        </w:rPr>
        <w:t>operator și ADI INTERCOMDEȘEURI CARAȘ SEVERIN, în numele și pe seama unităților administrativ-teritoriale membre – colectarea și transportul deșeurilor dinZona 1 Reșița (cu excepția municipiului Caransebeș), Zona 2 Bozovici, Zona 3 Pojejena, Zona 4 Oravița, Zona 5 Băile Herculane și Zona 6 Oțelu Roșu;</w:t>
      </w:r>
    </w:p>
    <w:p>
      <w:pPr>
        <w:numPr>
          <w:ilvl w:val="1"/>
          <w:numId w:val="105"/>
        </w:numPr>
        <w:autoSpaceDE w:val="0"/>
        <w:autoSpaceDN w:val="0"/>
        <w:adjustRightInd w:val="0"/>
        <w:spacing w:after="240" w:line="276" w:lineRule="auto"/>
        <w:ind w:left="1134"/>
        <w:jc w:val="both"/>
        <w:rPr>
          <w:rFonts w:ascii="Verdana" w:hAnsi="Verdana" w:cs="Verdana"/>
          <w:sz w:val="20"/>
          <w:szCs w:val="20"/>
          <w:lang w:val="ro-RO"/>
        </w:rPr>
      </w:pPr>
      <w:r>
        <w:rPr>
          <w:rFonts w:ascii="Verdana" w:hAnsi="Verdana" w:cs="Verdana"/>
          <w:sz w:val="20"/>
          <w:szCs w:val="20"/>
          <w:lang w:val="ro-RO"/>
        </w:rPr>
        <w:t>SC TRANSAL URBIS SRL și Primăria Municipiului Caransebeș– colectarea și transportul deșeurilor de pe raza municipiului Caransebeș, până la expirarea actualului contract de delegare;</w:t>
      </w:r>
    </w:p>
    <w:p>
      <w:pPr>
        <w:numPr>
          <w:ilvl w:val="1"/>
          <w:numId w:val="105"/>
        </w:numPr>
        <w:autoSpaceDE w:val="0"/>
        <w:autoSpaceDN w:val="0"/>
        <w:adjustRightInd w:val="0"/>
        <w:spacing w:after="240" w:line="276" w:lineRule="auto"/>
        <w:ind w:left="1134"/>
        <w:jc w:val="both"/>
        <w:rPr>
          <w:rFonts w:ascii="Verdana" w:hAnsi="Verdana" w:cs="Verdana"/>
          <w:sz w:val="20"/>
          <w:szCs w:val="20"/>
          <w:lang w:val="ro-RO"/>
        </w:rPr>
      </w:pPr>
      <w:r>
        <w:rPr>
          <w:rFonts w:ascii="Verdana" w:hAnsi="Verdana" w:cs="Verdana"/>
          <w:sz w:val="20"/>
          <w:szCs w:val="20"/>
          <w:lang w:val="ro-RO"/>
        </w:rPr>
        <w:t xml:space="preserve">operator și </w:t>
      </w:r>
      <w:bookmarkStart w:id="75" w:name="OLE_LINK1"/>
      <w:r>
        <w:rPr>
          <w:rFonts w:ascii="Verdana" w:hAnsi="Verdana" w:cs="Verdana"/>
          <w:sz w:val="20"/>
          <w:szCs w:val="20"/>
          <w:lang w:val="ro-RO"/>
        </w:rPr>
        <w:t>Consiliul Județean Caraș Severin, în numele și pe seama unităților administrativ-teritoriale membre</w:t>
      </w:r>
      <w:bookmarkEnd w:id="75"/>
      <w:r>
        <w:rPr>
          <w:rFonts w:ascii="Verdana" w:hAnsi="Verdana" w:cs="Verdana"/>
          <w:sz w:val="20"/>
          <w:szCs w:val="20"/>
          <w:lang w:val="ro-RO"/>
        </w:rPr>
        <w:t xml:space="preserve"> – operarea stației de sortare, a instalației de tratare mecano-biologică și a depozitului conform Lupac și a stațiilor de transfer Bozovici, Pojejena,Oțelu Roșu, Oravița și Băile Herculane.</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color w:val="000000"/>
          <w:sz w:val="20"/>
          <w:szCs w:val="20"/>
          <w:lang w:val="ro-RO"/>
        </w:rPr>
      </w:pPr>
      <w:r>
        <w:rPr>
          <w:rFonts w:ascii="Verdana" w:hAnsi="Verdana" w:cs="Verdana"/>
          <w:color w:val="000000"/>
          <w:sz w:val="20"/>
          <w:szCs w:val="20"/>
          <w:lang w:val="ro-RO"/>
        </w:rPr>
        <w:t>Pentru colectarea deșeurilor de construcții și desființări se vor încheia contracte de prestări servicii între operatorii de salubrizare care au încheiate contracte de delegare și generatorii de deșeuri.</w:t>
      </w:r>
    </w:p>
    <w:p>
      <w:pPr>
        <w:autoSpaceDE w:val="0"/>
        <w:autoSpaceDN w:val="0"/>
        <w:adjustRightInd w:val="0"/>
        <w:spacing w:after="240" w:line="276" w:lineRule="auto"/>
        <w:jc w:val="both"/>
        <w:rPr>
          <w:rFonts w:ascii="Verdana" w:hAnsi="Verdana" w:cs="Verdana"/>
          <w:b/>
          <w:bCs/>
          <w:color w:val="000000"/>
          <w:sz w:val="22"/>
          <w:szCs w:val="22"/>
          <w:lang w:val="ro-RO"/>
        </w:rPr>
      </w:pPr>
    </w:p>
    <w:p>
      <w:pPr>
        <w:autoSpaceDE w:val="0"/>
        <w:autoSpaceDN w:val="0"/>
        <w:adjustRightInd w:val="0"/>
        <w:spacing w:after="240" w:line="276" w:lineRule="auto"/>
        <w:jc w:val="both"/>
        <w:rPr>
          <w:rFonts w:ascii="Verdana" w:hAnsi="Verdana" w:cs="Verdana"/>
          <w:b/>
          <w:bCs/>
          <w:color w:val="000000"/>
          <w:sz w:val="22"/>
          <w:szCs w:val="22"/>
          <w:lang w:val="ro-RO"/>
        </w:rPr>
      </w:pPr>
    </w:p>
    <w:p>
      <w:pPr>
        <w:numPr>
          <w:ilvl w:val="0"/>
          <w:numId w:val="43"/>
        </w:numPr>
        <w:autoSpaceDE w:val="0"/>
        <w:autoSpaceDN w:val="0"/>
        <w:adjustRightInd w:val="0"/>
        <w:spacing w:after="240" w:line="276" w:lineRule="auto"/>
        <w:jc w:val="both"/>
        <w:rPr>
          <w:rFonts w:ascii="Verdana" w:hAnsi="Verdana" w:cs="Verdana"/>
          <w:b/>
          <w:bCs/>
          <w:color w:val="000000"/>
          <w:sz w:val="22"/>
          <w:szCs w:val="22"/>
          <w:lang w:val="ro-RO"/>
        </w:rPr>
        <w:sectPr>
          <w:pgSz w:w="11909" w:h="16834" w:code="9"/>
          <w:pgMar w:top="1440" w:right="1440" w:bottom="1440" w:left="1440" w:header="709" w:footer="709" w:gutter="0"/>
          <w:cols w:space="708"/>
          <w:docGrid w:linePitch="360"/>
        </w:sectPr>
      </w:pPr>
    </w:p>
    <w:p>
      <w:pPr>
        <w:pStyle w:val="StyleHeading1Verdana14ptCenteredBefore0ptAfter"/>
        <w:spacing w:after="240" w:line="276" w:lineRule="auto"/>
        <w:rPr>
          <w:lang w:val="ro-RO"/>
        </w:rPr>
      </w:pPr>
      <w:bookmarkStart w:id="76" w:name="_Toc180479000"/>
      <w:bookmarkStart w:id="77" w:name="_Toc180479049"/>
      <w:bookmarkStart w:id="78" w:name="_Toc41469124"/>
      <w:r>
        <w:rPr>
          <w:lang w:val="ro-RO"/>
        </w:rPr>
        <w:lastRenderedPageBreak/>
        <w:t>CAPITOLUL VII</w:t>
      </w:r>
      <w:r>
        <w:rPr>
          <w:lang w:val="ro-RO"/>
        </w:rPr>
        <w:tab/>
        <w:t>DISPOZIȚII TRANZITORII și FINALE</w:t>
      </w:r>
      <w:bookmarkEnd w:id="76"/>
      <w:bookmarkEnd w:id="77"/>
      <w:bookmarkEnd w:id="78"/>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Indicatorii de performanță se aprobă de către ADI INTERCOMDEȘEURI CARAȘ SEVERIN și de către consiliile locale.</w:t>
      </w:r>
    </w:p>
    <w:p>
      <w:pPr>
        <w:numPr>
          <w:ilvl w:val="0"/>
          <w:numId w:val="8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Contravențiile în domeniul serviciului de salubrizare pentru operatori, precum și cuantumul amenzilor aplicabile sunt cele stabilite prin Legea nr. 51/2006 Legea serviciilor comunitare de utilități publice cu modificările și completările ulterioare și Legea nr. 101/2006 serviciului de salubrizare a localităților cu modificările și completările ulterioare.</w:t>
      </w:r>
    </w:p>
    <w:p>
      <w:pPr>
        <w:numPr>
          <w:ilvl w:val="0"/>
          <w:numId w:val="8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Contravențiile în domeniul serviciului de salubrizare pentru utilizatori, precum și cuantumul amenzilor aplicabile sunt cele prezentate în Anexa 5.</w:t>
      </w:r>
    </w:p>
    <w:p>
      <w:pPr>
        <w:numPr>
          <w:ilvl w:val="0"/>
          <w:numId w:val="86"/>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Constatarea contravențiilor și aplicarea sancțiunilor se face de către primari și/sau ADI INTERCOMDEȘEURI CARAȘ SEVERIN și de împuterniciții președintelui A.N.R.S.C.</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Încadrul contractelor de delegare încheiate se vor stipula standardele, normativele și tarifele legale, valabile la data încheierii acestora. De asemenea, se vor face trimiteri și la actele normative care trebuie respectate din punct de vedere al protecției mediului și al sănătății publice</w:t>
      </w:r>
    </w:p>
    <w:p>
      <w:pPr>
        <w:numPr>
          <w:ilvl w:val="0"/>
          <w:numId w:val="87"/>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Contractele de prestări servicii se vor încheia numai pentru colectarea deșeurilor din construcții și desființări.</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Autoritatea Națională de Reglementare pentru Serviciile Comunitare de Utilități Publice va controla aplicarea prevederilor prezentului Regulament.</w:t>
      </w:r>
    </w:p>
    <w:p>
      <w:pPr>
        <w:numPr>
          <w:ilvl w:val="0"/>
          <w:numId w:val="33"/>
        </w:numPr>
        <w:autoSpaceDE w:val="0"/>
        <w:autoSpaceDN w:val="0"/>
        <w:adjustRightInd w:val="0"/>
        <w:spacing w:after="240" w:line="276" w:lineRule="auto"/>
        <w:jc w:val="both"/>
        <w:rPr>
          <w:rFonts w:ascii="Verdana" w:hAnsi="Verdana" w:cs="Verdana"/>
          <w:b/>
          <w:bCs/>
          <w:sz w:val="20"/>
          <w:szCs w:val="20"/>
          <w:lang w:val="ro-RO"/>
        </w:rPr>
      </w:pPr>
    </w:p>
    <w:p>
      <w:pPr>
        <w:numPr>
          <w:ilvl w:val="0"/>
          <w:numId w:val="8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Prevederile prezentului Regulament vor fi actualizate în funcție de modificările de natură tehnică, tehnologică și legislativă, prin ordin al președintelui A.N.R.S.C.</w:t>
      </w:r>
    </w:p>
    <w:p>
      <w:pPr>
        <w:numPr>
          <w:ilvl w:val="0"/>
          <w:numId w:val="88"/>
        </w:numPr>
        <w:autoSpaceDE w:val="0"/>
        <w:autoSpaceDN w:val="0"/>
        <w:adjustRightInd w:val="0"/>
        <w:spacing w:after="240" w:line="276" w:lineRule="auto"/>
        <w:jc w:val="both"/>
        <w:rPr>
          <w:rFonts w:ascii="Verdana" w:hAnsi="Verdana" w:cs="Verdana"/>
          <w:sz w:val="20"/>
          <w:szCs w:val="20"/>
          <w:lang w:val="ro-RO"/>
        </w:rPr>
      </w:pPr>
      <w:r>
        <w:rPr>
          <w:rFonts w:ascii="Verdana" w:hAnsi="Verdana" w:cs="Verdana"/>
          <w:sz w:val="20"/>
          <w:szCs w:val="20"/>
          <w:lang w:val="ro-RO"/>
        </w:rPr>
        <w:t>Anexele fac parte integrantă din prezentul regulament.</w:t>
      </w:r>
    </w:p>
    <w:p>
      <w:pPr>
        <w:autoSpaceDE w:val="0"/>
        <w:autoSpaceDN w:val="0"/>
        <w:adjustRightInd w:val="0"/>
        <w:spacing w:after="240" w:line="276" w:lineRule="auto"/>
        <w:ind w:firstLine="357"/>
        <w:jc w:val="both"/>
        <w:rPr>
          <w:rFonts w:ascii="Verdana" w:hAnsi="Verdana" w:cs="Verdana"/>
          <w:sz w:val="22"/>
          <w:szCs w:val="22"/>
          <w:lang w:val="ro-RO"/>
        </w:rPr>
      </w:pPr>
    </w:p>
    <w:p>
      <w:pPr>
        <w:autoSpaceDE w:val="0"/>
        <w:autoSpaceDN w:val="0"/>
        <w:adjustRightInd w:val="0"/>
        <w:spacing w:after="240" w:line="276" w:lineRule="auto"/>
        <w:ind w:firstLine="357"/>
        <w:jc w:val="both"/>
        <w:rPr>
          <w:rFonts w:ascii="Verdana" w:hAnsi="Verdana" w:cs="Verdana"/>
          <w:sz w:val="22"/>
          <w:szCs w:val="22"/>
          <w:lang w:val="ro-RO"/>
        </w:rPr>
      </w:pPr>
    </w:p>
    <w:p>
      <w:pPr>
        <w:autoSpaceDE w:val="0"/>
        <w:autoSpaceDN w:val="0"/>
        <w:adjustRightInd w:val="0"/>
        <w:spacing w:after="120" w:line="288" w:lineRule="auto"/>
        <w:ind w:firstLine="357"/>
        <w:jc w:val="both"/>
        <w:rPr>
          <w:rFonts w:ascii="Arial" w:hAnsi="Arial" w:cs="Arial"/>
          <w:sz w:val="22"/>
          <w:szCs w:val="22"/>
          <w:lang w:val="ro-RO"/>
        </w:rPr>
        <w:sectPr>
          <w:pgSz w:w="11909" w:h="16834" w:code="9"/>
          <w:pgMar w:top="1440" w:right="1440" w:bottom="1440" w:left="1440" w:header="706" w:footer="706" w:gutter="0"/>
          <w:cols w:space="708"/>
          <w:docGrid w:linePitch="360"/>
        </w:sectPr>
      </w:pPr>
    </w:p>
    <w:p>
      <w:pPr>
        <w:autoSpaceDE w:val="0"/>
        <w:autoSpaceDN w:val="0"/>
        <w:adjustRightInd w:val="0"/>
        <w:spacing w:after="120" w:line="288" w:lineRule="auto"/>
        <w:ind w:firstLine="357"/>
        <w:rPr>
          <w:rFonts w:ascii="Arial" w:hAnsi="Arial" w:cs="Arial"/>
          <w:sz w:val="22"/>
          <w:szCs w:val="22"/>
          <w:lang w:val="ro-RO"/>
        </w:rPr>
      </w:pPr>
      <w:r>
        <w:rPr>
          <w:rFonts w:ascii="Arial" w:hAnsi="Arial" w:cs="Arial"/>
          <w:sz w:val="22"/>
          <w:szCs w:val="22"/>
          <w:lang w:val="ro-RO"/>
        </w:rPr>
        <w:lastRenderedPageBreak/>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p>
    <w:p>
      <w:pPr>
        <w:pStyle w:val="StyleHeading1Verdana14ptCenteredBefore0ptAfter"/>
        <w:rPr>
          <w:lang w:val="ro-RO"/>
        </w:rPr>
      </w:pPr>
      <w:bookmarkStart w:id="79" w:name="_Toc41469125"/>
      <w:r>
        <w:rPr>
          <w:lang w:val="ro-RO"/>
        </w:rPr>
        <w:t>ANEXA 1</w:t>
      </w:r>
      <w:r>
        <w:rPr>
          <w:lang w:val="ro-RO"/>
        </w:rPr>
        <w:tab/>
        <w:t>INDICATORI DE PERFORMANȚĂ PENTRU SERVICIUL PUBLIC DE SALUBRIZARE DINJUDEȚULCARAȘ SEVERIN</w:t>
      </w:r>
      <w:bookmarkEnd w:id="79"/>
    </w:p>
    <w:p>
      <w:pPr>
        <w:autoSpaceDE w:val="0"/>
        <w:autoSpaceDN w:val="0"/>
        <w:adjustRightInd w:val="0"/>
        <w:spacing w:after="120" w:line="288" w:lineRule="auto"/>
        <w:jc w:val="both"/>
        <w:rPr>
          <w:rFonts w:ascii="Arial" w:hAnsi="Arial" w:cs="Arial"/>
          <w:sz w:val="22"/>
          <w:szCs w:val="22"/>
          <w:lang w:val="ro-RO"/>
        </w:rPr>
      </w:pPr>
    </w:p>
    <w:p>
      <w:pPr>
        <w:autoSpaceDE w:val="0"/>
        <w:autoSpaceDN w:val="0"/>
        <w:adjustRightInd w:val="0"/>
        <w:spacing w:after="120" w:line="288" w:lineRule="auto"/>
        <w:jc w:val="both"/>
        <w:rPr>
          <w:rFonts w:ascii="Verdana" w:hAnsi="Verdana" w:cs="Verdana"/>
          <w:b/>
          <w:bCs/>
          <w:sz w:val="20"/>
          <w:szCs w:val="20"/>
          <w:lang w:val="ro-RO"/>
        </w:rPr>
      </w:pPr>
      <w:r>
        <w:rPr>
          <w:rFonts w:ascii="Verdana" w:hAnsi="Verdana" w:cs="Verdana"/>
          <w:b/>
          <w:bCs/>
          <w:sz w:val="20"/>
          <w:szCs w:val="20"/>
          <w:lang w:val="ro-RO"/>
        </w:rPr>
        <w:t>Tabel 1:</w:t>
      </w:r>
      <w:r>
        <w:rPr>
          <w:rFonts w:ascii="Verdana" w:hAnsi="Verdana" w:cs="Verdana"/>
          <w:b/>
          <w:bCs/>
          <w:sz w:val="20"/>
          <w:szCs w:val="20"/>
          <w:lang w:val="ro-RO"/>
        </w:rPr>
        <w:tab/>
        <w:t>Indicatori de performanță pentru monitorizarea serviciilor de colectare și transport a deșeurilor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029"/>
        <w:gridCol w:w="1358"/>
        <w:gridCol w:w="1879"/>
        <w:gridCol w:w="1949"/>
        <w:gridCol w:w="1670"/>
      </w:tblGrid>
      <w:tr>
        <w:trPr>
          <w:tblHeader/>
        </w:trPr>
        <w:tc>
          <w:tcPr>
            <w:tcW w:w="871"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Nr. crt.</w:t>
            </w:r>
          </w:p>
        </w:tc>
        <w:tc>
          <w:tcPr>
            <w:tcW w:w="5029"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de performanță</w:t>
            </w:r>
          </w:p>
        </w:tc>
        <w:tc>
          <w:tcPr>
            <w:tcW w:w="1358"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Unitate măsură</w:t>
            </w:r>
          </w:p>
        </w:tc>
        <w:tc>
          <w:tcPr>
            <w:tcW w:w="1879"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Valoare</w:t>
            </w:r>
          </w:p>
        </w:tc>
        <w:tc>
          <w:tcPr>
            <w:tcW w:w="1949" w:type="dxa"/>
            <w:shd w:val="clear" w:color="auto" w:fill="99CCFF"/>
            <w:vAlign w:val="center"/>
          </w:tcPr>
          <w:p>
            <w:pPr>
              <w:autoSpaceDE w:val="0"/>
              <w:autoSpaceDN w:val="0"/>
              <w:adjustRightInd w:val="0"/>
              <w:spacing w:line="276" w:lineRule="auto"/>
              <w:jc w:val="center"/>
              <w:rPr>
                <w:rFonts w:ascii="Verdana" w:hAnsi="Verdana" w:cs="Verdana"/>
                <w:b/>
                <w:bCs/>
                <w:sz w:val="18"/>
                <w:szCs w:val="18"/>
                <w:lang w:val="ro-RO"/>
              </w:rPr>
            </w:pPr>
            <w:r>
              <w:rPr>
                <w:rFonts w:ascii="Verdana" w:hAnsi="Verdana" w:cs="Verdana"/>
                <w:b/>
                <w:bCs/>
                <w:sz w:val="18"/>
                <w:szCs w:val="18"/>
                <w:lang w:val="ro-RO"/>
              </w:rPr>
              <w:t>Penalități</w:t>
            </w:r>
          </w:p>
        </w:tc>
        <w:tc>
          <w:tcPr>
            <w:tcW w:w="1670" w:type="dxa"/>
            <w:shd w:val="clear" w:color="auto" w:fill="99CCFF"/>
            <w:vAlign w:val="center"/>
          </w:tcPr>
          <w:p>
            <w:pPr>
              <w:autoSpaceDE w:val="0"/>
              <w:autoSpaceDN w:val="0"/>
              <w:adjustRightInd w:val="0"/>
              <w:spacing w:line="276" w:lineRule="auto"/>
              <w:jc w:val="center"/>
              <w:rPr>
                <w:rFonts w:ascii="Verdana" w:hAnsi="Verdana" w:cs="Verdana"/>
                <w:b/>
                <w:bCs/>
                <w:sz w:val="18"/>
                <w:szCs w:val="18"/>
                <w:lang w:val="ro-RO"/>
              </w:rPr>
            </w:pPr>
            <w:r>
              <w:rPr>
                <w:rFonts w:ascii="Verdana" w:hAnsi="Verdana" w:cs="Verdana"/>
                <w:b/>
                <w:bCs/>
                <w:sz w:val="18"/>
                <w:szCs w:val="18"/>
                <w:lang w:val="ro-RO"/>
              </w:rPr>
              <w:t>Frecvența propusă de monitorizare</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1.</w:t>
            </w:r>
          </w:p>
        </w:tc>
        <w:tc>
          <w:tcPr>
            <w:tcW w:w="502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CONTRACTAREA SERVICIILOR DE SALUBRIZARE</w:t>
            </w:r>
          </w:p>
        </w:tc>
        <w:tc>
          <w:tcPr>
            <w:tcW w:w="1358"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87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949"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670"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1.1</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contracte încheiate între Delegat și utilizatori (producători de deșeuri) raportat la numărul de solicitări,pe categorii de utilizatori și categorii de deșeuri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1.2</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contracte încheiate între Delegat și utilizatori (producători de deșeuri) în mai puțin de 10 zile calendaristice de la primirea solicitării justificate din partea utilizatorului, raportat la numărul cererilor, pe categorii de utilizatori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minim 95</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Anual</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1.3</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contracte cu utilizatorii modificate în mai puțin de 10 zile calendaristice de la primirea solicitării justificate din partea utilizatorului, raportat la numărul de cereri de modificare a clauzelor contractuale</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minim 95</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Anual</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2</w:t>
            </w:r>
          </w:p>
        </w:tc>
        <w:tc>
          <w:tcPr>
            <w:tcW w:w="502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EFICIENȚA ÎN GESTIONAREA CONTRACTELOR</w:t>
            </w:r>
          </w:p>
        </w:tc>
        <w:tc>
          <w:tcPr>
            <w:tcW w:w="1358"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87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949" w:type="dxa"/>
          </w:tcPr>
          <w:p>
            <w:pPr>
              <w:autoSpaceDE w:val="0"/>
              <w:autoSpaceDN w:val="0"/>
              <w:adjustRightInd w:val="0"/>
              <w:spacing w:line="276" w:lineRule="auto"/>
              <w:rPr>
                <w:rFonts w:ascii="Verdana" w:hAnsi="Verdana" w:cs="Verdana"/>
                <w:b/>
                <w:bCs/>
                <w:sz w:val="18"/>
                <w:szCs w:val="18"/>
                <w:lang w:val="ro-RO"/>
              </w:rPr>
            </w:pPr>
          </w:p>
        </w:tc>
        <w:tc>
          <w:tcPr>
            <w:tcW w:w="1670" w:type="dxa"/>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2.1</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pubele de 120 l pentru precolectarea deșeurilor reziduale, furnizate ca urmare a solicitărilor, raportat la numărul total de solicitări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1.000 lei/recipient nefurnizat în 10 de zile de la primirea solicitării</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Lunar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2.2</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Numărul de pubele de 240 l pentru precolectarea deșeurilor reziduale, furnizate ca urmare a </w:t>
            </w:r>
            <w:r>
              <w:rPr>
                <w:rFonts w:ascii="Verdana" w:hAnsi="Verdana" w:cs="Verdana"/>
                <w:sz w:val="18"/>
                <w:szCs w:val="18"/>
                <w:lang w:val="ro-RO"/>
              </w:rPr>
              <w:lastRenderedPageBreak/>
              <w:t>solicitărilor, raportat la numărul total de solicitări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lastRenderedPageBreak/>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1.000 lei/recipient nefurnizat în 10 de </w:t>
            </w:r>
            <w:r>
              <w:rPr>
                <w:rFonts w:ascii="Verdana" w:hAnsi="Verdana" w:cs="Verdana"/>
                <w:sz w:val="18"/>
                <w:szCs w:val="18"/>
                <w:lang w:val="ro-RO"/>
              </w:rPr>
              <w:lastRenderedPageBreak/>
              <w:t>zile de la primirea solicitării</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lastRenderedPageBreak/>
              <w:t xml:space="preserve">Lunar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2.3</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containere de 1.100 l pentru precolectarea deșeurilor reziduale, furnizate ca urmare a solicitărilor, raportat la numărul total de solicitări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1.000 lei/recipient nefurnizat în 10 de zile de la primirea solicitării</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Lunar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2.4</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containere de 1.1000 l pentru precolectarea separată a deșeurilor reciclabile, furnizate ca urmare a solicitărilor, raportat la numărul total de solicitări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1.000 lei/recipient nefurnizat în 10 de zile de la primirea solicitării</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Lunar </w:t>
            </w:r>
          </w:p>
        </w:tc>
      </w:tr>
      <w:tr>
        <w:trPr>
          <w:trHeight w:val="1107"/>
        </w:trP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2.5</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situații în care un recipient de colectare deteriorat este reparat sau înlocuit în mai puțin de 48 de ore de la semnalarea defecțiunii raportat la numărul total de situații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90</w:t>
            </w:r>
          </w:p>
        </w:tc>
        <w:tc>
          <w:tcPr>
            <w:tcW w:w="1949" w:type="dxa"/>
            <w:tcBorders>
              <w:bottom w:val="nil"/>
            </w:tcBorders>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1.000 lei/container nereparat sau neînlocuit</w:t>
            </w:r>
          </w:p>
        </w:tc>
        <w:tc>
          <w:tcPr>
            <w:tcW w:w="1670" w:type="dxa"/>
            <w:tcBorders>
              <w:bottom w:val="nil"/>
            </w:tcBorders>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2.6</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reclamații scrise la care Delegatul a răspuns în 30 de zile de la data primirii reclamației, raportat la numărul total de reclamații scrise</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1.500 Lei/reclamație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2.7</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Numărul de reclamații scrise justificate raportat la numărul total de utilizatori, pe categorii de utilizatori  </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w:t>
            </w:r>
          </w:p>
          <w:p>
            <w:pPr>
              <w:autoSpaceDE w:val="0"/>
              <w:autoSpaceDN w:val="0"/>
              <w:adjustRightInd w:val="0"/>
              <w:spacing w:line="276" w:lineRule="auto"/>
              <w:rPr>
                <w:rFonts w:ascii="Verdana" w:hAnsi="Verdana" w:cs="Verdana"/>
                <w:sz w:val="18"/>
                <w:szCs w:val="18"/>
                <w:lang w:val="ro-RO"/>
              </w:rPr>
            </w:pPr>
          </w:p>
          <w:p>
            <w:pPr>
              <w:autoSpaceDE w:val="0"/>
              <w:autoSpaceDN w:val="0"/>
              <w:adjustRightInd w:val="0"/>
              <w:spacing w:line="276" w:lineRule="auto"/>
              <w:rPr>
                <w:rFonts w:ascii="Verdana" w:hAnsi="Verdana" w:cs="Verdana"/>
                <w:sz w:val="18"/>
                <w:szCs w:val="18"/>
                <w:lang w:val="ro-RO"/>
              </w:rPr>
            </w:pP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3</w:t>
            </w:r>
          </w:p>
        </w:tc>
        <w:tc>
          <w:tcPr>
            <w:tcW w:w="502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TEHNICI DE MONITORIZARE</w:t>
            </w:r>
          </w:p>
        </w:tc>
        <w:tc>
          <w:tcPr>
            <w:tcW w:w="1358"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87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949"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670"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3.1</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Populația care beneficiază de colectare a deșeurilor raportat la populația totală la nivel de unitate teritorial administrativă</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Lunar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3.2</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de deşeuri reciclabile din deşeurile menajere și similare (hârtie/carton, plastic, metal și sticlă) colectate separat și acceptate la o stație de sortare autorizată pentru sortarea deșeurilor colectate separat, raportată la cantitatea totală de deşeuri reciclabile menajere și similare generata.</w:t>
            </w: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lastRenderedPageBreak/>
              <w:t>Deșeurile sunt considerate colectate separat numai cu îndeplinirea criteriilor de acceptare în stația de sortare autorizată pentru sortarea deșeurilor colectate separat.</w:t>
            </w: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Cantitățile sunt calculate pe baza bonurilor de cântar emise la stația de sortare.</w:t>
            </w: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totală de deșeuri reciclabile generată se estimează aplicând datele de compoziție la cantitatea totală de deșeuri colectată de operator.</w:t>
            </w:r>
          </w:p>
          <w:p>
            <w:pPr>
              <w:autoSpaceDE w:val="0"/>
              <w:autoSpaceDN w:val="0"/>
              <w:adjustRightInd w:val="0"/>
              <w:spacing w:line="276" w:lineRule="auto"/>
              <w:rPr>
                <w:rFonts w:ascii="Verdana" w:hAnsi="Verdana" w:cs="Verdana"/>
                <w:sz w:val="18"/>
                <w:szCs w:val="18"/>
                <w:lang w:val="ro-RO"/>
              </w:rPr>
            </w:pPr>
          </w:p>
          <w:p>
            <w:pPr>
              <w:autoSpaceDE w:val="0"/>
              <w:autoSpaceDN w:val="0"/>
              <w:adjustRightInd w:val="0"/>
              <w:spacing w:line="276" w:lineRule="auto"/>
              <w:rPr>
                <w:rFonts w:ascii="Verdana" w:hAnsi="Verdana" w:cs="Verdana"/>
                <w:sz w:val="18"/>
                <w:szCs w:val="18"/>
                <w:u w:val="single"/>
                <w:lang w:val="ro-RO"/>
              </w:rPr>
            </w:pPr>
            <w:r>
              <w:rPr>
                <w:rFonts w:ascii="Verdana" w:hAnsi="Verdana" w:cs="Verdana"/>
                <w:sz w:val="18"/>
                <w:szCs w:val="18"/>
                <w:u w:val="single"/>
                <w:lang w:val="ro-RO"/>
              </w:rPr>
              <w:t>Mod de calcul:</w:t>
            </w:r>
          </w:p>
          <w:p>
            <w:pPr>
              <w:autoSpaceDE w:val="0"/>
              <w:autoSpaceDN w:val="0"/>
              <w:adjustRightInd w:val="0"/>
              <w:spacing w:line="276" w:lineRule="auto"/>
              <w:rPr>
                <w:rFonts w:ascii="Verdana" w:hAnsi="Verdana" w:cs="Verdana"/>
                <w:i/>
                <w:iCs/>
                <w:sz w:val="18"/>
                <w:szCs w:val="18"/>
                <w:lang w:val="ro-RO"/>
              </w:rPr>
            </w:pPr>
            <w:r>
              <w:rPr>
                <w:rFonts w:ascii="Verdana" w:hAnsi="Verdana" w:cs="Verdana"/>
                <w:i/>
                <w:iCs/>
                <w:sz w:val="18"/>
                <w:szCs w:val="18"/>
                <w:lang w:val="ro-RO"/>
              </w:rPr>
              <w:t>Cantitatea de deșeuri reciclabile municipale colectate separat în aria de delegare reprezintă cantitatea totală colectată separat pe fracții, respectiv deșeuri din hârtie și carton, deșeuri de plastic și metal și deșeuri de sticlă, inclusiv impuritățile, acceptată anual de către stația/stațiile de sortare care deservesc aria de delegare</w:t>
            </w:r>
          </w:p>
          <w:p>
            <w:pPr>
              <w:autoSpaceDE w:val="0"/>
              <w:autoSpaceDN w:val="0"/>
              <w:adjustRightInd w:val="0"/>
              <w:spacing w:line="276" w:lineRule="auto"/>
              <w:rPr>
                <w:rFonts w:ascii="Verdana" w:hAnsi="Verdana" w:cs="Verdana"/>
                <w:i/>
                <w:iCs/>
                <w:sz w:val="18"/>
                <w:szCs w:val="18"/>
                <w:lang w:val="ro-RO"/>
              </w:rPr>
            </w:pPr>
          </w:p>
          <w:p>
            <w:pPr>
              <w:autoSpaceDE w:val="0"/>
              <w:autoSpaceDN w:val="0"/>
              <w:adjustRightInd w:val="0"/>
              <w:spacing w:line="276" w:lineRule="auto"/>
              <w:rPr>
                <w:rFonts w:ascii="Verdana" w:hAnsi="Verdana" w:cs="Verdana"/>
                <w:i/>
                <w:iCs/>
                <w:sz w:val="18"/>
                <w:szCs w:val="18"/>
                <w:lang w:val="ro-RO"/>
              </w:rPr>
            </w:pPr>
            <w:r>
              <w:rPr>
                <w:rFonts w:ascii="Verdana" w:hAnsi="Verdana" w:cs="Verdana"/>
                <w:i/>
                <w:iCs/>
                <w:sz w:val="18"/>
                <w:szCs w:val="18"/>
                <w:lang w:val="ro-RO"/>
              </w:rPr>
              <w:t>Cantitatea totală generată de deșeuri reciclabile municipale în aria de delegare se consideră ca fiind cantitatea totală de deșeuri reciclabile menajere, similare (inclusiv coșurile stradale) și din pieţe colectată de către operator (separat și în amestec).</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lastRenderedPageBreak/>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2020 – min. 50%</w:t>
            </w:r>
          </w:p>
          <w:p>
            <w:pPr>
              <w:autoSpaceDE w:val="0"/>
              <w:autoSpaceDN w:val="0"/>
              <w:adjustRightInd w:val="0"/>
              <w:spacing w:line="276" w:lineRule="auto"/>
              <w:rPr>
                <w:rFonts w:ascii="Verdana" w:hAnsi="Verdana" w:cs="Verdana"/>
                <w:sz w:val="18"/>
                <w:szCs w:val="18"/>
                <w:lang w:val="ro-RO"/>
              </w:rPr>
            </w:pP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2021 – min. 60%</w:t>
            </w:r>
          </w:p>
          <w:p>
            <w:pPr>
              <w:autoSpaceDE w:val="0"/>
              <w:autoSpaceDN w:val="0"/>
              <w:adjustRightInd w:val="0"/>
              <w:spacing w:line="276" w:lineRule="auto"/>
              <w:rPr>
                <w:rFonts w:ascii="Verdana" w:hAnsi="Verdana" w:cs="Verdana"/>
                <w:sz w:val="18"/>
                <w:szCs w:val="18"/>
                <w:lang w:val="ro-RO"/>
              </w:rPr>
            </w:pP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începând cu 2022 – min. 70%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Pentru cantitățile de deșeuri destinate a fi depozitate care depășesc cantitățile </w:t>
            </w:r>
            <w:r>
              <w:rPr>
                <w:rFonts w:ascii="Verdana" w:hAnsi="Verdana" w:cs="Verdana"/>
                <w:sz w:val="18"/>
                <w:szCs w:val="18"/>
                <w:lang w:val="ro-RO"/>
              </w:rPr>
              <w:lastRenderedPageBreak/>
              <w:t>corespunzătoare indicatorilor de performanță prevăzuți, plata cuantumului aferent tarifului de depozitare și a contribuției pentru economia circulară se va realiza de către operator din alte surse, fără a putea recupera aceste costuri prin tarif</w:t>
            </w:r>
          </w:p>
          <w:p>
            <w:pPr>
              <w:autoSpaceDE w:val="0"/>
              <w:autoSpaceDN w:val="0"/>
              <w:adjustRightInd w:val="0"/>
              <w:spacing w:line="276" w:lineRule="auto"/>
              <w:rPr>
                <w:rFonts w:ascii="Verdana" w:hAnsi="Verdana" w:cs="Verdana"/>
                <w:sz w:val="18"/>
                <w:szCs w:val="18"/>
                <w:lang w:val="ro-RO"/>
              </w:rPr>
            </w:pP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lastRenderedPageBreak/>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3.3</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Populația care solicită implementarea instrumentului „plătește pentru arunci” raportat la populația totală din aria de delegare </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2020 – min. 10%</w:t>
            </w:r>
          </w:p>
          <w:p>
            <w:pPr>
              <w:rPr>
                <w:rFonts w:ascii="Verdana" w:hAnsi="Verdana" w:cs="Verdana"/>
                <w:sz w:val="18"/>
                <w:szCs w:val="18"/>
                <w:lang w:val="ro-RO"/>
              </w:rPr>
            </w:pPr>
            <w:r>
              <w:rPr>
                <w:rFonts w:ascii="Verdana" w:hAnsi="Verdana" w:cs="Verdana"/>
                <w:sz w:val="18"/>
                <w:szCs w:val="18"/>
                <w:lang w:val="ro-RO"/>
              </w:rPr>
              <w:t>2021 – min. 15%</w:t>
            </w:r>
          </w:p>
          <w:p>
            <w:pPr>
              <w:rPr>
                <w:rFonts w:ascii="Verdana" w:hAnsi="Verdana" w:cs="Verdana"/>
                <w:sz w:val="18"/>
                <w:szCs w:val="18"/>
                <w:lang w:val="ro-RO"/>
              </w:rPr>
            </w:pPr>
            <w:r>
              <w:rPr>
                <w:rFonts w:ascii="Verdana" w:hAnsi="Verdana" w:cs="Verdana"/>
                <w:sz w:val="18"/>
                <w:szCs w:val="18"/>
                <w:lang w:val="ro-RO"/>
              </w:rPr>
              <w:t>începând cu 2022 – min. 20%</w:t>
            </w:r>
          </w:p>
        </w:tc>
        <w:tc>
          <w:tcPr>
            <w:tcW w:w="1949" w:type="dxa"/>
          </w:tcPr>
          <w:p>
            <w:pPr>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3.4</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de deșeuri menajere periculoase colectată separat trimisă la tratare/ eliminare raportat la cantitatea totală de deșeuri menajere periculoase colectate anual</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minim 90</w:t>
            </w:r>
          </w:p>
        </w:tc>
        <w:tc>
          <w:tcPr>
            <w:tcW w:w="1949" w:type="dxa"/>
          </w:tcPr>
          <w:p>
            <w:pPr>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3.5</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Cantitatea de deșeuri voluminoase colectată separat </w:t>
            </w:r>
            <w:r>
              <w:rPr>
                <w:rFonts w:ascii="Verdana" w:hAnsi="Verdana" w:cs="Verdana"/>
                <w:sz w:val="18"/>
                <w:szCs w:val="18"/>
                <w:lang w:val="ro-RO"/>
              </w:rPr>
              <w:lastRenderedPageBreak/>
              <w:t>și trimisă la tratare în vederea valorificării raportat la cantitatea totală de deșeuri voluminoase colectate de la populație și operatori economici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lastRenderedPageBreak/>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min. 30</w:t>
            </w:r>
          </w:p>
        </w:tc>
        <w:tc>
          <w:tcPr>
            <w:tcW w:w="1949" w:type="dxa"/>
          </w:tcPr>
          <w:p>
            <w:pPr>
              <w:rPr>
                <w:rFonts w:ascii="Verdana" w:hAnsi="Verdana" w:cs="Verdana"/>
                <w:sz w:val="18"/>
                <w:szCs w:val="18"/>
                <w:lang w:val="ro-RO"/>
              </w:rPr>
            </w:pPr>
            <w:r>
              <w:rPr>
                <w:rFonts w:ascii="Verdana" w:hAnsi="Verdana" w:cs="Verdana"/>
                <w:sz w:val="18"/>
                <w:szCs w:val="18"/>
                <w:lang w:val="ro-RO"/>
              </w:rPr>
              <w:t xml:space="preserve">Pentru cantitățile </w:t>
            </w:r>
            <w:r>
              <w:rPr>
                <w:rFonts w:ascii="Verdana" w:hAnsi="Verdana" w:cs="Verdana"/>
                <w:sz w:val="18"/>
                <w:szCs w:val="18"/>
                <w:lang w:val="ro-RO"/>
              </w:rPr>
              <w:lastRenderedPageBreak/>
              <w:t>de deșeuri destinate a fi depozitate care depășesc cantitățile corespunzătoare indicatorilor de performanță prevăzuți, plata cuantumului aferent tarifului de depozitare și a contribuției pentru economia circulară se va realiza de către operator din alte surse, fără a putea recupera aceste costuri prin tarif.</w:t>
            </w:r>
          </w:p>
        </w:tc>
        <w:tc>
          <w:tcPr>
            <w:tcW w:w="1670" w:type="dxa"/>
          </w:tcPr>
          <w:p>
            <w:pPr>
              <w:rPr>
                <w:rFonts w:ascii="Verdana" w:hAnsi="Verdana" w:cs="Verdana"/>
                <w:sz w:val="18"/>
                <w:szCs w:val="18"/>
                <w:lang w:val="ro-RO"/>
              </w:rPr>
            </w:pPr>
            <w:r>
              <w:rPr>
                <w:rFonts w:ascii="Verdana" w:hAnsi="Verdana" w:cs="Verdana"/>
                <w:sz w:val="18"/>
                <w:szCs w:val="18"/>
                <w:lang w:val="ro-RO"/>
              </w:rPr>
              <w:lastRenderedPageBreak/>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3.6</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de deșeuri voluminoase colectatăși trimisă la tratare/ eliminare raportat la cantitatea totală de deșeuri voluminoase colectate de la populație și operatori economici</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minim 90</w:t>
            </w:r>
          </w:p>
        </w:tc>
        <w:tc>
          <w:tcPr>
            <w:tcW w:w="1949" w:type="dxa"/>
          </w:tcPr>
          <w:p>
            <w:pPr>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3.7</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de deșeuri din construcții și desființăricolectată separat de la populație și trimisă la tratare în vederea valorificării raportat la cantitatea totală de deșeuri din construcții și desființări colectată de la populație în anul respectiv</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min. 30</w:t>
            </w:r>
          </w:p>
        </w:tc>
        <w:tc>
          <w:tcPr>
            <w:tcW w:w="1949" w:type="dxa"/>
          </w:tcPr>
          <w:p>
            <w:pPr>
              <w:rPr>
                <w:rFonts w:ascii="Verdana" w:hAnsi="Verdana" w:cs="Verdana"/>
                <w:sz w:val="18"/>
                <w:szCs w:val="18"/>
                <w:lang w:val="ro-RO"/>
              </w:rPr>
            </w:pPr>
            <w:r>
              <w:rPr>
                <w:rFonts w:ascii="Verdana" w:hAnsi="Verdana" w:cs="Verdana"/>
                <w:sz w:val="18"/>
                <w:szCs w:val="18"/>
                <w:lang w:val="ro-RO"/>
              </w:rPr>
              <w:t xml:space="preserve">Pentru cantitățile de deșeuri destinate a fi depozitate care depășesc cantitățile corespunzătoare indicatorilor de performanță prevăzuți, plata cuantumului aferent tarifului de </w:t>
            </w:r>
            <w:r>
              <w:rPr>
                <w:rFonts w:ascii="Verdana" w:hAnsi="Verdana" w:cs="Verdana"/>
                <w:sz w:val="18"/>
                <w:szCs w:val="18"/>
                <w:lang w:val="ro-RO"/>
              </w:rPr>
              <w:lastRenderedPageBreak/>
              <w:t>depozitare și a contribuției pentru economia circulară se va realiza de către operator din alte surse, fără a putea recupera aceste costuri prin tarif.</w:t>
            </w:r>
          </w:p>
        </w:tc>
        <w:tc>
          <w:tcPr>
            <w:tcW w:w="1670" w:type="dxa"/>
          </w:tcPr>
          <w:p>
            <w:pPr>
              <w:rPr>
                <w:rFonts w:ascii="Verdana" w:hAnsi="Verdana" w:cs="Verdana"/>
                <w:sz w:val="18"/>
                <w:szCs w:val="18"/>
                <w:lang w:val="ro-RO"/>
              </w:rPr>
            </w:pPr>
            <w:r>
              <w:rPr>
                <w:rFonts w:ascii="Verdana" w:hAnsi="Verdana" w:cs="Verdana"/>
                <w:sz w:val="18"/>
                <w:szCs w:val="18"/>
                <w:lang w:val="ro-RO"/>
              </w:rPr>
              <w:lastRenderedPageBreak/>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3.8</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de deșeuri din construcții și desființări colectatășitrimisă la tratare/ eliminare raportat la cantitatea totală de deșeuri din construcții și desființări colectate de la populație anual</w:t>
            </w:r>
          </w:p>
        </w:tc>
        <w:tc>
          <w:tcPr>
            <w:tcW w:w="1358"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rPr>
                <w:rFonts w:ascii="Verdana" w:hAnsi="Verdana" w:cs="Verdana"/>
                <w:sz w:val="18"/>
                <w:szCs w:val="18"/>
                <w:lang w:val="ro-RO"/>
              </w:rPr>
            </w:pPr>
            <w:r>
              <w:rPr>
                <w:rFonts w:ascii="Verdana" w:hAnsi="Verdana" w:cs="Verdana"/>
                <w:sz w:val="18"/>
                <w:szCs w:val="18"/>
                <w:lang w:val="ro-RO"/>
              </w:rPr>
              <w:t>100</w:t>
            </w:r>
          </w:p>
        </w:tc>
        <w:tc>
          <w:tcPr>
            <w:tcW w:w="1949" w:type="dxa"/>
          </w:tcPr>
          <w:p>
            <w:pPr>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rPr>
                <w:rFonts w:ascii="Verdana" w:hAnsi="Verdana" w:cs="Verdana"/>
                <w:sz w:val="18"/>
                <w:szCs w:val="18"/>
                <w:lang w:val="ro-RO"/>
              </w:rPr>
            </w:pPr>
            <w:r>
              <w:rPr>
                <w:rFonts w:ascii="Verdana" w:hAnsi="Verdana" w:cs="Verdana"/>
                <w:sz w:val="18"/>
                <w:szCs w:val="18"/>
                <w:lang w:val="ro-RO"/>
              </w:rPr>
              <w:t xml:space="preserve">Anual </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4</w:t>
            </w:r>
          </w:p>
        </w:tc>
        <w:tc>
          <w:tcPr>
            <w:tcW w:w="502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RECLAMAȚII ȘI SESIZĂRI</w:t>
            </w:r>
          </w:p>
        </w:tc>
        <w:tc>
          <w:tcPr>
            <w:tcW w:w="1358"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879"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949"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670"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4.1</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sesizări scrise privind nerespectarea de către operatorii de colectare și transport a obligațiilor din licențe și autorizații</w:t>
            </w:r>
          </w:p>
        </w:tc>
        <w:tc>
          <w:tcPr>
            <w:tcW w:w="1358"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reclamație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4.2</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încălcări ale obligațiilor contractuale ale operatorilor de colectare și transport rezultatedin analizele și controaleleorganismelor abilitate</w:t>
            </w:r>
          </w:p>
        </w:tc>
        <w:tc>
          <w:tcPr>
            <w:tcW w:w="1358"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încălcare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4.3</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utilizatori și angajați care au primit despăgubiri datorate culpei operatorului de colectare și transport sau dacă s-au îmbolnăvit din cauza nerespectării condițiilor de prestare a activității de colectare și transport</w:t>
            </w:r>
          </w:p>
        </w:tc>
        <w:tc>
          <w:tcPr>
            <w:tcW w:w="1358"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Lei/utilizator sau angajat al operatorului</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4.4</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Valoarea despăgubirilor acordate utilizatorilor de operatorul de colectare și transport pentru situațiile de mai sus raportată la valoarea totală facturată aferentă activității de colectare și transport</w:t>
            </w:r>
          </w:p>
        </w:tc>
        <w:tc>
          <w:tcPr>
            <w:tcW w:w="1358"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Lei/pentru fiecare procent</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4.5</w:t>
            </w:r>
          </w:p>
        </w:tc>
        <w:tc>
          <w:tcPr>
            <w:tcW w:w="502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neconformități constatate de autoritățile administrației publice locale și ADI INTERCOM DEȘEURI CARAȘ SEVERIN privind activitatea de colectare și transport</w:t>
            </w:r>
          </w:p>
        </w:tc>
        <w:tc>
          <w:tcPr>
            <w:tcW w:w="1358"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879"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194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670"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bl>
    <w:p>
      <w:pPr>
        <w:rPr>
          <w:rFonts w:ascii="Verdana" w:hAnsi="Verdana" w:cs="Verdana"/>
          <w:sz w:val="18"/>
          <w:szCs w:val="18"/>
          <w:lang w:val="ro-RO"/>
        </w:rPr>
      </w:pPr>
    </w:p>
    <w:p>
      <w:pPr>
        <w:rPr>
          <w:lang w:val="ro-RO"/>
        </w:rPr>
      </w:pPr>
    </w:p>
    <w:p>
      <w:pPr>
        <w:autoSpaceDE w:val="0"/>
        <w:autoSpaceDN w:val="0"/>
        <w:adjustRightInd w:val="0"/>
        <w:spacing w:after="120" w:line="288" w:lineRule="auto"/>
        <w:jc w:val="both"/>
        <w:rPr>
          <w:rFonts w:ascii="Verdana" w:hAnsi="Verdana" w:cs="Verdana"/>
          <w:b/>
          <w:bCs/>
          <w:sz w:val="20"/>
          <w:szCs w:val="20"/>
          <w:lang w:val="ro-RO"/>
        </w:rPr>
      </w:pPr>
      <w:r>
        <w:rPr>
          <w:rFonts w:ascii="Verdana" w:hAnsi="Verdana" w:cs="Verdana"/>
          <w:b/>
          <w:bCs/>
          <w:sz w:val="20"/>
          <w:szCs w:val="20"/>
          <w:lang w:val="ro-RO"/>
        </w:rPr>
        <w:t>Tabel 2:</w:t>
      </w:r>
      <w:r>
        <w:rPr>
          <w:rFonts w:ascii="Verdana" w:hAnsi="Verdana" w:cs="Verdana"/>
          <w:b/>
          <w:bCs/>
          <w:sz w:val="20"/>
          <w:szCs w:val="20"/>
          <w:lang w:val="ro-RO"/>
        </w:rPr>
        <w:tab/>
        <w:t xml:space="preserve">Indicatori de performanță pentru monitorizarea instalațiilor de tratare a deșeurilor </w:t>
      </w:r>
    </w:p>
    <w:p>
      <w:pPr>
        <w:autoSpaceDE w:val="0"/>
        <w:autoSpaceDN w:val="0"/>
        <w:adjustRightInd w:val="0"/>
        <w:spacing w:after="120" w:line="288" w:lineRule="auto"/>
        <w:jc w:val="both"/>
        <w:rPr>
          <w:rFonts w:ascii="Verdana" w:hAnsi="Verdana" w:cs="Verdana"/>
          <w:b/>
          <w:bCs/>
          <w:sz w:val="20"/>
          <w:szCs w:val="20"/>
          <w:lang w:val="ro-RO"/>
        </w:rPr>
      </w:pPr>
      <w:r>
        <w:rPr>
          <w:rFonts w:ascii="Verdana" w:hAnsi="Verdana" w:cs="Verdana"/>
          <w:b/>
          <w:bCs/>
          <w:sz w:val="20"/>
          <w:szCs w:val="20"/>
          <w:lang w:val="ro-RO"/>
        </w:rPr>
        <w:t>(sortare și tratare mecano-biologică)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560"/>
        <w:gridCol w:w="1275"/>
        <w:gridCol w:w="2344"/>
        <w:gridCol w:w="1589"/>
      </w:tblGrid>
      <w:tr>
        <w:trPr>
          <w:tblHeader/>
        </w:trPr>
        <w:tc>
          <w:tcPr>
            <w:tcW w:w="851"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Nr. crt.</w:t>
            </w:r>
          </w:p>
        </w:tc>
        <w:tc>
          <w:tcPr>
            <w:tcW w:w="5244"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de performanță</w:t>
            </w:r>
          </w:p>
        </w:tc>
        <w:tc>
          <w:tcPr>
            <w:tcW w:w="1560"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Unitate măsură</w:t>
            </w:r>
          </w:p>
        </w:tc>
        <w:tc>
          <w:tcPr>
            <w:tcW w:w="1275"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Valoare</w:t>
            </w:r>
          </w:p>
        </w:tc>
        <w:tc>
          <w:tcPr>
            <w:tcW w:w="2344" w:type="dxa"/>
            <w:shd w:val="clear" w:color="auto" w:fill="99CCFF"/>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Penalități</w:t>
            </w:r>
          </w:p>
        </w:tc>
        <w:tc>
          <w:tcPr>
            <w:tcW w:w="1589" w:type="dxa"/>
            <w:shd w:val="clear" w:color="auto" w:fill="99CCFF"/>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Frecvența de monitorizare</w:t>
            </w:r>
          </w:p>
        </w:tc>
      </w:tr>
      <w:tr>
        <w:tc>
          <w:tcPr>
            <w:tcW w:w="85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1.</w:t>
            </w:r>
          </w:p>
        </w:tc>
        <w:tc>
          <w:tcPr>
            <w:tcW w:w="5244"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DE PERFORMANTA GENERALI</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344"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589"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1.1</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totală de deșeuri trimisă la valorificare raportat la cantitatea totală de deșeuri intrată în stația de sortare</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minim 70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1.2</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totală de deșeuri tratată biologic raportat la cantitatea totală de deșeuri intrată în instalația de tratare mecano-biologică</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minim 90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5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2</w:t>
            </w:r>
          </w:p>
        </w:tc>
        <w:tc>
          <w:tcPr>
            <w:tcW w:w="5244"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TEHNICI DE MONITORIZARE</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344"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589"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2.1</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totală de deșeuri trimisă la reciclare ca</w:t>
            </w: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procentaj din cantitatea totală de deșeuri acceptate</w:t>
            </w:r>
          </w:p>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la stațiile de sortare.</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75</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Pentru cantitățile de deșeuri destinate a fi depozitate care depășesc cantitățile corespunzătoare 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2.2</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Cantitatea totală de deșeuri reziduale de la instalația de tratare mecano-biologica trimisă la depozitare ca procent din cantitatea totală de deșeuri acceptată la instalație</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maxim 65</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Pentru cantitățile de deșeuri destinate a fi depozitate care depășesc cantitățile corespunzătoare </w:t>
            </w:r>
            <w:r>
              <w:rPr>
                <w:rFonts w:ascii="Verdana" w:hAnsi="Verdana" w:cs="Verdana"/>
                <w:sz w:val="18"/>
                <w:szCs w:val="18"/>
                <w:lang w:val="ro-RO"/>
              </w:rPr>
              <w:lastRenderedPageBreak/>
              <w:t>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lastRenderedPageBreak/>
              <w:t xml:space="preserve">Anual </w:t>
            </w:r>
          </w:p>
        </w:tc>
      </w:tr>
      <w:tr>
        <w:tc>
          <w:tcPr>
            <w:tcW w:w="85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3</w:t>
            </w:r>
          </w:p>
        </w:tc>
        <w:tc>
          <w:tcPr>
            <w:tcW w:w="5244"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RECLAMAȚII ȘI SESIZĂRI</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344"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589"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3.1</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sesizări scrise privind nerespectarea de către operatorul stației de sortare și a instalației de tratare mecano-biologică a obligațiilor din licențe și autorizații</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reclamație</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3.2</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încălcări ale obligațiilor operatorului stației de sortare și a instalației de tratare mecano-biologică rezultate din analizele și controalele efectuate de Delegatar și organismele abilitate</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încălcare</w:t>
            </w:r>
            <w:r>
              <w:rPr>
                <w:rFonts w:ascii="Verdana" w:hAnsi="Verdana" w:cs="Verdana"/>
                <w:sz w:val="18"/>
                <w:szCs w:val="18"/>
                <w:lang w:val="ro-RO"/>
              </w:rPr>
              <w:tab/>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3.3</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utilizatori și angajați care au primit despăgubiri datorate culpei operatorului stației de sortare și a instalației de tratare mecano-biologică sau dacă s-au îmbolnăvit din cauza nerespectării condițiilor de prestare a activităților de tratare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Lei/utilizator sau angajat al operatorului</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3.4</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Valoarea despăgubirilor acordate utilizatorilor de operatorul stației de sortare și a instalației de tratare mecano-biologică pentru situațiile de mai sus raportatăla valoarea totală facturată aferentă activității de tratare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Lei/pentru fiecare procent</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5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3.5</w:t>
            </w:r>
          </w:p>
        </w:tc>
        <w:tc>
          <w:tcPr>
            <w:tcW w:w="5244"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neconformități constatate de autoritățile administrației publice locale și ADI INTERCOM DEȘEURI CARAȘ SEVERIN privind activitatea de tratare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344"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589"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bl>
    <w:p>
      <w:pPr>
        <w:rPr>
          <w:lang w:val="ro-RO"/>
        </w:rPr>
      </w:pPr>
    </w:p>
    <w:p>
      <w:pPr>
        <w:rPr>
          <w:lang w:val="ro-RO"/>
        </w:rPr>
      </w:pPr>
    </w:p>
    <w:p>
      <w:pPr>
        <w:autoSpaceDE w:val="0"/>
        <w:autoSpaceDN w:val="0"/>
        <w:adjustRightInd w:val="0"/>
        <w:spacing w:after="120" w:line="288" w:lineRule="auto"/>
        <w:jc w:val="both"/>
        <w:rPr>
          <w:rFonts w:ascii="Verdana" w:hAnsi="Verdana" w:cs="Verdana"/>
          <w:b/>
          <w:bCs/>
          <w:sz w:val="20"/>
          <w:szCs w:val="20"/>
          <w:lang w:val="ro-RO"/>
        </w:rPr>
      </w:pPr>
      <w:r>
        <w:rPr>
          <w:rFonts w:ascii="Verdana" w:hAnsi="Verdana" w:cs="Verdana"/>
          <w:b/>
          <w:bCs/>
          <w:sz w:val="20"/>
          <w:szCs w:val="20"/>
          <w:lang w:val="ro-RO"/>
        </w:rPr>
        <w:t>Tabel 3:</w:t>
      </w:r>
      <w:r>
        <w:rPr>
          <w:rFonts w:ascii="Verdana" w:hAnsi="Verdana" w:cs="Verdana"/>
          <w:b/>
          <w:bCs/>
          <w:sz w:val="20"/>
          <w:szCs w:val="20"/>
          <w:lang w:val="ro-RO"/>
        </w:rPr>
        <w:tab/>
        <w:t>Indicatori de performanță pentru monitorizarea depozitului conform de deșeuri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253"/>
        <w:gridCol w:w="1560"/>
        <w:gridCol w:w="1275"/>
        <w:gridCol w:w="2268"/>
        <w:gridCol w:w="1701"/>
      </w:tblGrid>
      <w:tr>
        <w:trPr>
          <w:tblHeader/>
        </w:trPr>
        <w:tc>
          <w:tcPr>
            <w:tcW w:w="871"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Nr. Crt.</w:t>
            </w:r>
          </w:p>
        </w:tc>
        <w:tc>
          <w:tcPr>
            <w:tcW w:w="5253"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de performanță</w:t>
            </w:r>
          </w:p>
        </w:tc>
        <w:tc>
          <w:tcPr>
            <w:tcW w:w="1560"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Unitate măsură</w:t>
            </w:r>
          </w:p>
        </w:tc>
        <w:tc>
          <w:tcPr>
            <w:tcW w:w="1275" w:type="dxa"/>
            <w:shd w:val="clear" w:color="auto" w:fill="99CCFF"/>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Valoare</w:t>
            </w:r>
          </w:p>
        </w:tc>
        <w:tc>
          <w:tcPr>
            <w:tcW w:w="2268" w:type="dxa"/>
            <w:shd w:val="clear" w:color="auto" w:fill="99CCFF"/>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Penalități</w:t>
            </w:r>
          </w:p>
        </w:tc>
        <w:tc>
          <w:tcPr>
            <w:tcW w:w="1701" w:type="dxa"/>
            <w:shd w:val="clear" w:color="auto" w:fill="99CCFF"/>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Frecvența de monitorizare</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1.</w:t>
            </w:r>
          </w:p>
        </w:tc>
        <w:tc>
          <w:tcPr>
            <w:tcW w:w="5253"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DE PERFORMANȚĂ GENERALI</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268"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701"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1.1</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Delegatul trebuie să asigure un grad cât mai mare de compactare a deșeurilor în depozit</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t/mc</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minim 0,9 </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1.2</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Delegatul trebuie să asigure funcționarea corespunzătoare a sistemelor de colectare și tratare a levigatului și a gazului de depozit  </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1.3</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Delegatul trebuie să asigure arderea gazului de depozit colectat </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2</w:t>
            </w:r>
          </w:p>
        </w:tc>
        <w:tc>
          <w:tcPr>
            <w:tcW w:w="5253"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INDICATORI TEHNICI DE MONITORIZARE</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268"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701"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2.1</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Delegatul va raporta anual Delegatarului/ADI cantitatea totală de deșeuri biodegradabile municipale depozitate. Cantitatea de deșeuri biodegradabile municipale depozitate se va determina și raporta în conformitate cu metoda(ele) aprobata/e de Delegatar/ADI.</w:t>
            </w:r>
          </w:p>
        </w:tc>
        <w:tc>
          <w:tcPr>
            <w:tcW w:w="156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100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Anual </w:t>
            </w:r>
          </w:p>
        </w:tc>
      </w:tr>
      <w:tr>
        <w:tc>
          <w:tcPr>
            <w:tcW w:w="871"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3</w:t>
            </w:r>
          </w:p>
        </w:tc>
        <w:tc>
          <w:tcPr>
            <w:tcW w:w="5253"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r>
              <w:rPr>
                <w:rFonts w:ascii="Verdana" w:hAnsi="Verdana" w:cs="Verdana"/>
                <w:b/>
                <w:bCs/>
                <w:sz w:val="18"/>
                <w:szCs w:val="18"/>
                <w:lang w:val="ro-RO"/>
              </w:rPr>
              <w:t>RECLAMAȚII ȘI SESIZĂRI</w:t>
            </w:r>
          </w:p>
        </w:tc>
        <w:tc>
          <w:tcPr>
            <w:tcW w:w="1560"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1275" w:type="dxa"/>
            <w:shd w:val="clear" w:color="auto" w:fill="C0C0C0"/>
            <w:vAlign w:val="center"/>
          </w:tcPr>
          <w:p>
            <w:pPr>
              <w:autoSpaceDE w:val="0"/>
              <w:autoSpaceDN w:val="0"/>
              <w:adjustRightInd w:val="0"/>
              <w:spacing w:line="276" w:lineRule="auto"/>
              <w:rPr>
                <w:rFonts w:ascii="Verdana" w:hAnsi="Verdana" w:cs="Verdana"/>
                <w:b/>
                <w:bCs/>
                <w:sz w:val="18"/>
                <w:szCs w:val="18"/>
                <w:lang w:val="ro-RO"/>
              </w:rPr>
            </w:pPr>
          </w:p>
        </w:tc>
        <w:tc>
          <w:tcPr>
            <w:tcW w:w="2268" w:type="dxa"/>
            <w:shd w:val="clear" w:color="auto" w:fill="C0C0C0"/>
          </w:tcPr>
          <w:p>
            <w:pPr>
              <w:autoSpaceDE w:val="0"/>
              <w:autoSpaceDN w:val="0"/>
              <w:adjustRightInd w:val="0"/>
              <w:spacing w:line="276" w:lineRule="auto"/>
              <w:rPr>
                <w:rFonts w:ascii="Verdana" w:hAnsi="Verdana" w:cs="Verdana"/>
                <w:b/>
                <w:bCs/>
                <w:sz w:val="18"/>
                <w:szCs w:val="18"/>
                <w:lang w:val="ro-RO"/>
              </w:rPr>
            </w:pPr>
          </w:p>
        </w:tc>
        <w:tc>
          <w:tcPr>
            <w:tcW w:w="1701" w:type="dxa"/>
            <w:shd w:val="clear" w:color="auto" w:fill="C0C0C0"/>
          </w:tcPr>
          <w:p>
            <w:pPr>
              <w:autoSpaceDE w:val="0"/>
              <w:autoSpaceDN w:val="0"/>
              <w:adjustRightInd w:val="0"/>
              <w:spacing w:line="276" w:lineRule="auto"/>
              <w:rPr>
                <w:rFonts w:ascii="Verdana" w:hAnsi="Verdana" w:cs="Verdana"/>
                <w:b/>
                <w:bCs/>
                <w:sz w:val="18"/>
                <w:szCs w:val="18"/>
                <w:lang w:val="ro-RO"/>
              </w:rPr>
            </w:pP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3.1</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sesizări scrise privind nerespectarea de către operatorul depozitului conform a obligațiilor din licențe și autorizații</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reclamație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3.2</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încălcări ale obligațiilor operatorului depozitului conform rezultatelor din analizele și controalele efectuate de Delegatar și organismele abilitate</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 încălcare</w:t>
            </w:r>
            <w:r>
              <w:rPr>
                <w:rFonts w:ascii="Verdana" w:hAnsi="Verdana" w:cs="Verdana"/>
                <w:sz w:val="18"/>
                <w:szCs w:val="18"/>
                <w:lang w:val="ro-RO"/>
              </w:rPr>
              <w:tab/>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3.3</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Numărul de utilizatori și angajați care au primit despăgubiri datorate culpei operatorului depozitului conform sau dacă s-au îmbolnăvit din cauza nerespectării condițiilor de prestare a activităților de </w:t>
            </w:r>
            <w:r>
              <w:rPr>
                <w:rFonts w:ascii="Verdana" w:hAnsi="Verdana" w:cs="Verdana"/>
                <w:sz w:val="18"/>
                <w:szCs w:val="18"/>
                <w:lang w:val="ro-RO"/>
              </w:rPr>
              <w:lastRenderedPageBreak/>
              <w:t>tratare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lastRenderedPageBreak/>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Lei/utilizator sau angajat al operatorului</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3.4</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Valoarea despăgubirilor acordate utilizatorilor de operatorul depozitului conform pentru situațiile de mai sus raportată la valoarea totală facturată aferentă activității de tratare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5.000 Lei/pentru fiecare procent</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 xml:space="preserve">Trimestrial </w:t>
            </w:r>
          </w:p>
        </w:tc>
      </w:tr>
      <w:tr>
        <w:tc>
          <w:tcPr>
            <w:tcW w:w="871"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3.5</w:t>
            </w:r>
          </w:p>
        </w:tc>
        <w:tc>
          <w:tcPr>
            <w:tcW w:w="5253"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Numărul de neconformități constatate de autoritățile administrației publice locale și ADI INTERCOM DEȘEURI CARAȘ SEVERIN privind activitatea de eliminare a deșeurilor</w:t>
            </w:r>
          </w:p>
        </w:tc>
        <w:tc>
          <w:tcPr>
            <w:tcW w:w="1560"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Nr.</w:t>
            </w:r>
          </w:p>
        </w:tc>
        <w:tc>
          <w:tcPr>
            <w:tcW w:w="1275" w:type="dxa"/>
            <w:vAlign w:val="center"/>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0</w:t>
            </w:r>
          </w:p>
        </w:tc>
        <w:tc>
          <w:tcPr>
            <w:tcW w:w="2268"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Fără penalități - datele sunt folosite în scop de monitorizare</w:t>
            </w:r>
          </w:p>
        </w:tc>
        <w:tc>
          <w:tcPr>
            <w:tcW w:w="1701" w:type="dxa"/>
          </w:tcPr>
          <w:p>
            <w:pPr>
              <w:autoSpaceDE w:val="0"/>
              <w:autoSpaceDN w:val="0"/>
              <w:adjustRightInd w:val="0"/>
              <w:spacing w:line="276" w:lineRule="auto"/>
              <w:rPr>
                <w:rFonts w:ascii="Verdana" w:hAnsi="Verdana" w:cs="Verdana"/>
                <w:sz w:val="18"/>
                <w:szCs w:val="18"/>
                <w:lang w:val="ro-RO"/>
              </w:rPr>
            </w:pPr>
            <w:r>
              <w:rPr>
                <w:rFonts w:ascii="Verdana" w:hAnsi="Verdana" w:cs="Verdana"/>
                <w:sz w:val="18"/>
                <w:szCs w:val="18"/>
                <w:lang w:val="ro-RO"/>
              </w:rPr>
              <w:t>Trimestrial</w:t>
            </w:r>
          </w:p>
        </w:tc>
      </w:tr>
    </w:tbl>
    <w:p>
      <w:pPr>
        <w:rPr>
          <w:lang w:val="ro-RO"/>
        </w:rPr>
      </w:pPr>
    </w:p>
    <w:p>
      <w:pPr>
        <w:rPr>
          <w:lang w:val="ro-RO"/>
        </w:rPr>
      </w:pPr>
    </w:p>
    <w:p>
      <w:pPr>
        <w:rPr>
          <w:lang w:val="ro-RO"/>
        </w:rPr>
      </w:pPr>
    </w:p>
    <w:p>
      <w:pPr>
        <w:spacing w:after="120" w:line="288" w:lineRule="auto"/>
        <w:rPr>
          <w:rFonts w:ascii="Arial" w:hAnsi="Arial" w:cs="Arial"/>
          <w:b/>
          <w:bCs/>
          <w:sz w:val="22"/>
          <w:szCs w:val="22"/>
          <w:lang w:val="ro-RO"/>
        </w:rPr>
        <w:sectPr>
          <w:pgSz w:w="16834" w:h="11909" w:orient="landscape" w:code="9"/>
          <w:pgMar w:top="1440" w:right="1440" w:bottom="1440" w:left="1440" w:header="709" w:footer="709" w:gutter="0"/>
          <w:cols w:space="708"/>
          <w:docGrid w:linePitch="360"/>
        </w:sectPr>
      </w:pPr>
    </w:p>
    <w:p>
      <w:pPr>
        <w:pStyle w:val="StyleHeading1Verdana14ptCenteredBefore0ptAfter"/>
        <w:rPr>
          <w:lang w:val="ro-RO"/>
        </w:rPr>
      </w:pPr>
      <w:bookmarkStart w:id="80" w:name="_Toc41469126"/>
      <w:r>
        <w:rPr>
          <w:lang w:val="ro-RO"/>
        </w:rPr>
        <w:lastRenderedPageBreak/>
        <w:t>ANEXA 2</w:t>
      </w:r>
      <w:r>
        <w:rPr>
          <w:lang w:val="ro-RO"/>
        </w:rPr>
        <w:tab/>
        <w:t>SISTEMUL INTEGRAT DE MANAGEMENT ALDEȘEURILOR DINJUDEȚUL CARAȘ SEVERIN</w:t>
      </w:r>
      <w:bookmarkEnd w:id="80"/>
    </w:p>
    <w:p>
      <w:pPr>
        <w:spacing w:after="240" w:line="276" w:lineRule="auto"/>
        <w:rPr>
          <w:rFonts w:ascii="Verdana" w:hAnsi="Verdana" w:cs="Verdana"/>
          <w:b/>
          <w:bCs/>
          <w:sz w:val="18"/>
          <w:szCs w:val="18"/>
          <w:lang w:val="ro-RO"/>
        </w:rPr>
      </w:pPr>
    </w:p>
    <w:p>
      <w:pPr>
        <w:spacing w:after="240" w:line="276" w:lineRule="auto"/>
        <w:jc w:val="both"/>
        <w:rPr>
          <w:rFonts w:ascii="Verdana" w:hAnsi="Verdana" w:cs="Verdana"/>
          <w:sz w:val="18"/>
          <w:szCs w:val="18"/>
          <w:lang w:val="ro-RO"/>
        </w:rPr>
      </w:pPr>
      <w:r>
        <w:rPr>
          <w:rFonts w:ascii="Verdana" w:hAnsi="Verdana" w:cs="Verdana"/>
          <w:sz w:val="18"/>
          <w:szCs w:val="18"/>
          <w:lang w:val="ro-RO"/>
        </w:rPr>
        <w:t>Sistemul de management integrat al deșeurilor în județul Caraș Severin a fost proiectat astfel încât să asigure atingerea obiectivelor și țintelor legislative, a celor din Tratatul de aderare a României la Uniunea Europeană.</w:t>
      </w:r>
    </w:p>
    <w:p>
      <w:pPr>
        <w:spacing w:after="240" w:line="276" w:lineRule="auto"/>
        <w:jc w:val="both"/>
        <w:rPr>
          <w:rFonts w:ascii="Verdana" w:hAnsi="Verdana" w:cs="Verdana"/>
          <w:sz w:val="18"/>
          <w:szCs w:val="18"/>
          <w:lang w:val="ro-RO"/>
        </w:rPr>
      </w:pPr>
      <w:r>
        <w:rPr>
          <w:rFonts w:ascii="Verdana" w:hAnsi="Verdana" w:cs="Verdana"/>
          <w:sz w:val="18"/>
          <w:szCs w:val="18"/>
          <w:lang w:val="ro-RO"/>
        </w:rPr>
        <w:t>Încadrul Sistemului Integrat de Management al deșeurilor vor fi gestionate acele categorii de deșeuri, care sunt în responsabilitatea autorităților administrațiilor publice locale, și anume:</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municipale – deșeuri menajere și similare (clasa 20 din Lista Europeană a deșeurilor):</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fracțiuni colectate separat (deșeuri reciclabile și deșeuri periculoase din deșeurile menajere, inclusiv deșeurile de echipamente electrice și electronice) – 20 01;</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municipale amestecate (deșeuri reziduale) – 20 03 01;</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de ambalaje existente în deșeurile menajere, rezultate de la populație (15 01) – conform legii, autoritățile administrației publice locale au responsabilități în ceea ce privește colectarea și sortarea deșeurilor de ambalaje;</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de ambalaje existente în deșeurile similare (15 01) – colectate și sortate (restul deșeurilor de ambalaje de industrie comerț și instituții sunt gestionate direct de către generatori);</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 20 03 07;</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(in special 17 01);</w:t>
      </w:r>
    </w:p>
    <w:p>
      <w:pPr>
        <w:numPr>
          <w:ilvl w:val="0"/>
          <w:numId w:val="37"/>
        </w:numPr>
        <w:spacing w:after="240" w:line="276" w:lineRule="auto"/>
        <w:jc w:val="both"/>
        <w:rPr>
          <w:rFonts w:ascii="Verdana" w:hAnsi="Verdana" w:cs="Verdana"/>
          <w:sz w:val="18"/>
          <w:szCs w:val="18"/>
          <w:lang w:val="ro-RO"/>
        </w:rPr>
      </w:pPr>
      <w:r>
        <w:rPr>
          <w:rFonts w:ascii="Verdana" w:hAnsi="Verdana" w:cs="Verdana"/>
          <w:sz w:val="18"/>
          <w:szCs w:val="18"/>
          <w:lang w:val="ro-RO"/>
        </w:rPr>
        <w:t>deșeurile municipale periculoase, inclusiv deșeurile de echipamente electrice și electronice;</w:t>
      </w:r>
    </w:p>
    <w:p>
      <w:pPr>
        <w:numPr>
          <w:ilvl w:val="0"/>
          <w:numId w:val="37"/>
        </w:numPr>
        <w:spacing w:after="240" w:line="276" w:lineRule="auto"/>
        <w:jc w:val="both"/>
        <w:rPr>
          <w:rFonts w:ascii="Verdana" w:hAnsi="Verdana" w:cs="Verdana"/>
          <w:i/>
          <w:iCs/>
          <w:sz w:val="18"/>
          <w:szCs w:val="18"/>
          <w:lang w:val="ro-RO"/>
        </w:rPr>
      </w:pPr>
      <w:r>
        <w:rPr>
          <w:rFonts w:ascii="Verdana" w:hAnsi="Verdana" w:cs="Verdana"/>
          <w:i/>
          <w:iCs/>
          <w:sz w:val="18"/>
          <w:szCs w:val="18"/>
          <w:lang w:val="ro-RO"/>
        </w:rPr>
        <w:t>deșeuri din grădini și parcuri – 20 02;</w:t>
      </w:r>
    </w:p>
    <w:p>
      <w:pPr>
        <w:numPr>
          <w:ilvl w:val="0"/>
          <w:numId w:val="37"/>
        </w:numPr>
        <w:spacing w:after="240" w:line="276" w:lineRule="auto"/>
        <w:jc w:val="both"/>
        <w:rPr>
          <w:rFonts w:ascii="Verdana" w:hAnsi="Verdana" w:cs="Verdana"/>
          <w:i/>
          <w:iCs/>
          <w:sz w:val="18"/>
          <w:szCs w:val="18"/>
          <w:lang w:val="ro-RO"/>
        </w:rPr>
      </w:pPr>
      <w:r>
        <w:rPr>
          <w:rFonts w:ascii="Verdana" w:hAnsi="Verdana" w:cs="Verdana"/>
          <w:i/>
          <w:iCs/>
          <w:sz w:val="18"/>
          <w:szCs w:val="18"/>
          <w:lang w:val="ro-RO"/>
        </w:rPr>
        <w:t>deșeuri din piețe – 20 03 02;</w:t>
      </w:r>
    </w:p>
    <w:p>
      <w:pPr>
        <w:numPr>
          <w:ilvl w:val="0"/>
          <w:numId w:val="37"/>
        </w:numPr>
        <w:spacing w:after="240" w:line="276" w:lineRule="auto"/>
        <w:jc w:val="both"/>
        <w:rPr>
          <w:rFonts w:ascii="Verdana" w:hAnsi="Verdana" w:cs="Verdana"/>
          <w:i/>
          <w:iCs/>
          <w:sz w:val="18"/>
          <w:szCs w:val="18"/>
          <w:lang w:val="ro-RO"/>
        </w:rPr>
      </w:pPr>
      <w:r>
        <w:rPr>
          <w:rFonts w:ascii="Verdana" w:hAnsi="Verdana" w:cs="Verdana"/>
          <w:i/>
          <w:iCs/>
          <w:sz w:val="18"/>
          <w:szCs w:val="18"/>
          <w:lang w:val="ro-RO"/>
        </w:rPr>
        <w:t>deșeuri stradale – 20 03 03;</w:t>
      </w:r>
    </w:p>
    <w:p>
      <w:pPr>
        <w:numPr>
          <w:ilvl w:val="0"/>
          <w:numId w:val="37"/>
        </w:numPr>
        <w:spacing w:after="240" w:line="276" w:lineRule="auto"/>
        <w:jc w:val="both"/>
        <w:rPr>
          <w:rFonts w:ascii="Verdana" w:hAnsi="Verdana" w:cs="Verdana"/>
          <w:i/>
          <w:iCs/>
          <w:sz w:val="18"/>
          <w:szCs w:val="18"/>
          <w:lang w:val="ro-RO"/>
        </w:rPr>
      </w:pPr>
      <w:r>
        <w:rPr>
          <w:rFonts w:ascii="Verdana" w:hAnsi="Verdana" w:cs="Verdana"/>
          <w:i/>
          <w:iCs/>
          <w:sz w:val="18"/>
          <w:szCs w:val="18"/>
          <w:lang w:val="ro-RO"/>
        </w:rPr>
        <w:t>nămolul de la epurarea apelor uzate orășenești (19 08 05) – asigurarea spațiului de depozitare (conform prevederilor legale maxim 10 % din cantitatea de deșeuri nepericuloase depozitate poate fi nămol de epurare, care îndeplinește condițiile de acceptare la depozitare).</w:t>
      </w:r>
    </w:p>
    <w:p>
      <w:pPr>
        <w:spacing w:after="240" w:line="276" w:lineRule="auto"/>
        <w:ind w:left="360"/>
        <w:jc w:val="both"/>
        <w:rPr>
          <w:rFonts w:ascii="Verdana" w:hAnsi="Verdana" w:cs="Verdana"/>
          <w:i/>
          <w:iCs/>
          <w:sz w:val="18"/>
          <w:szCs w:val="18"/>
          <w:lang w:val="ro-RO"/>
        </w:rPr>
      </w:pPr>
      <w:r>
        <w:rPr>
          <w:rFonts w:ascii="Verdana" w:hAnsi="Verdana" w:cs="Verdana"/>
          <w:sz w:val="18"/>
          <w:szCs w:val="18"/>
          <w:lang w:val="ro-RO"/>
        </w:rPr>
        <w:t>(</w:t>
      </w:r>
      <w:r>
        <w:rPr>
          <w:rFonts w:ascii="Verdana" w:hAnsi="Verdana" w:cs="Verdana"/>
          <w:i/>
          <w:iCs/>
          <w:sz w:val="18"/>
          <w:szCs w:val="18"/>
          <w:lang w:val="ro-RO"/>
        </w:rPr>
        <w:t>Categoriile de deșeuri evidențiate în italic nu fac obiectul prezentului Regulament de salubritate</w:t>
      </w:r>
      <w:r>
        <w:rPr>
          <w:rFonts w:ascii="Verdana" w:hAnsi="Verdana" w:cs="Verdana"/>
          <w:sz w:val="18"/>
          <w:szCs w:val="18"/>
          <w:lang w:val="ro-RO"/>
        </w:rPr>
        <w:t>.)</w:t>
      </w:r>
    </w:p>
    <w:p>
      <w:pPr>
        <w:spacing w:after="240" w:line="276" w:lineRule="auto"/>
        <w:jc w:val="both"/>
        <w:rPr>
          <w:rFonts w:ascii="Verdana" w:hAnsi="Verdana" w:cs="Verdana"/>
          <w:sz w:val="18"/>
          <w:szCs w:val="18"/>
          <w:lang w:val="ro-RO"/>
        </w:rPr>
      </w:pPr>
      <w:r>
        <w:rPr>
          <w:rFonts w:ascii="Verdana" w:hAnsi="Verdana" w:cs="Verdana"/>
          <w:sz w:val="18"/>
          <w:szCs w:val="18"/>
          <w:lang w:val="ro-RO"/>
        </w:rPr>
        <w:t>Încadrul Studiului de Fezabilitate privind „Sistemul Integrat de Management al deșeurilor în județul Caraș Severin” aprobat în anul 2011 au fost identificate investițiile necesar a se realiza în județul Caraș Severin astfel încât sa fie atinse toate obiectivele și țintele legislative existente la momentul elaborării.</w:t>
      </w:r>
    </w:p>
    <w:p>
      <w:pPr>
        <w:spacing w:after="240" w:line="276" w:lineRule="auto"/>
        <w:jc w:val="both"/>
        <w:rPr>
          <w:rFonts w:ascii="Verdana" w:hAnsi="Verdana" w:cs="Verdana"/>
          <w:sz w:val="18"/>
          <w:szCs w:val="18"/>
          <w:lang w:val="ro-RO"/>
        </w:rPr>
      </w:pPr>
      <w:r>
        <w:rPr>
          <w:rFonts w:ascii="Verdana" w:hAnsi="Verdana" w:cs="Verdana"/>
          <w:sz w:val="18"/>
          <w:szCs w:val="18"/>
          <w:lang w:val="ro-RO"/>
        </w:rPr>
        <w:t>Județul Caraș Severin este împărțit în 6 zone de colectare a deșeurilor:</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lastRenderedPageBreak/>
        <w:t>Zona 1 Reșița;</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t>Zona 2 Bozovici;</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t>Zona 3 Pojejena;</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t>Zona 4 Oravița;</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t>Zona 5 Băile Herculane;</w:t>
      </w:r>
    </w:p>
    <w:p>
      <w:pPr>
        <w:numPr>
          <w:ilvl w:val="0"/>
          <w:numId w:val="38"/>
        </w:numPr>
        <w:spacing w:after="240" w:line="276" w:lineRule="auto"/>
        <w:jc w:val="both"/>
        <w:rPr>
          <w:rFonts w:ascii="Verdana" w:hAnsi="Verdana" w:cs="Verdana"/>
          <w:sz w:val="18"/>
          <w:szCs w:val="18"/>
          <w:lang w:val="ro-RO"/>
        </w:rPr>
      </w:pPr>
      <w:r>
        <w:rPr>
          <w:rFonts w:ascii="Verdana" w:hAnsi="Verdana" w:cs="Verdana"/>
          <w:sz w:val="18"/>
          <w:szCs w:val="18"/>
          <w:lang w:val="ro-RO"/>
        </w:rPr>
        <w:t>Zona 6 Oțelu Roșu.</w:t>
      </w:r>
    </w:p>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1 Reșița</w:t>
      </w:r>
    </w:p>
    <w:p>
      <w:pPr>
        <w:spacing w:after="240" w:line="276" w:lineRule="auto"/>
        <w:jc w:val="both"/>
        <w:rPr>
          <w:rFonts w:ascii="Verdana" w:hAnsi="Verdana" w:cs="Verdana"/>
          <w:sz w:val="18"/>
          <w:szCs w:val="18"/>
          <w:lang w:val="ro-RO"/>
        </w:rPr>
      </w:pPr>
      <w:r>
        <w:rPr>
          <w:rFonts w:ascii="Verdana" w:hAnsi="Verdana" w:cs="Verdana"/>
          <w:sz w:val="18"/>
          <w:szCs w:val="18"/>
          <w:lang w:val="ro-RO"/>
        </w:rPr>
        <w:t>Din zona 1 Reșița fac parte următoarele unități administrativ-teritoriale: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urban – municipiile Reșița și, orașele Anina și Bocșa;</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rural – comunele Armeniș, Berzovia, Bolvașnița, Brebu, Brebu Nou, Buchin, Bucoșnița, Carașova, Copacele, Doclin, Dognecea, Ezeris, Firliug, Goruia, Lupac, Măureni, Ocna de Fier, Păltiniș, Ramna, Slatina-Timiș, Târnova, Teregova, Turnu Ruieni, Văliug, Vermeș, Zorlențu Mare.</w:t>
      </w:r>
    </w:p>
    <w:p>
      <w:pPr>
        <w:spacing w:after="240" w:line="276" w:lineRule="auto"/>
        <w:jc w:val="both"/>
        <w:rPr>
          <w:rFonts w:ascii="Verdana" w:hAnsi="Verdana" w:cs="Verdana"/>
          <w:sz w:val="18"/>
          <w:szCs w:val="18"/>
          <w:lang w:val="ro-RO"/>
        </w:rPr>
      </w:pPr>
      <w:r>
        <w:rPr>
          <w:rFonts w:ascii="Verdana" w:hAnsi="Verdana" w:cs="Verdana"/>
          <w:sz w:val="18"/>
          <w:szCs w:val="18"/>
          <w:lang w:val="ro-RO"/>
        </w:rPr>
        <w:t>Serviciul de colectare și transport al deșeurilor va fi delegat unui singur operator de salubrizare (cu excepția municipiului Caransebeș),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similare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 neasimilabile celor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de echipamente electrice și electronice;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interioară a locuințelor/apartamentelor proprietate individuală.</w:t>
      </w:r>
    </w:p>
    <w:p>
      <w:pPr>
        <w:spacing w:after="240" w:line="276" w:lineRule="auto"/>
        <w:jc w:val="both"/>
        <w:rPr>
          <w:rFonts w:ascii="Verdana" w:hAnsi="Verdana" w:cs="Verdana"/>
          <w:sz w:val="18"/>
          <w:szCs w:val="18"/>
          <w:lang w:val="ro-RO"/>
        </w:rPr>
      </w:pPr>
      <w:r>
        <w:rPr>
          <w:rFonts w:ascii="Verdana" w:hAnsi="Verdana" w:cs="Verdana"/>
          <w:sz w:val="18"/>
          <w:szCs w:val="18"/>
          <w:lang w:val="ro-RO"/>
        </w:rPr>
        <w:t>Înmunicipiul Caransebeș, ca urmare a implementării proiectului PHARE CES 2004 „Dezvoltarea sistemului de gestionare a deșeurilor în municipiul Caransebeș”, serviciul de colectare și transport al deșeurilor este prestat de SC TRANSAL URBIS  SRL, operator public, obiectul contractului cuprinzând următoareleactivități: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colectarea separată şi transportul separat al deşeurilor municipale și al deșeurilor similare provenite din activități comerciale, din industrie și instituții, inclusiv fracții colectate separat, fără a aduce atingere fluxului de deșeuri de echipamente electrice și electronice, baterii și acumulatori;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colectarea și transportul deșeurilor provenite din locuințe, generate de activitățile de reamenajare și reabilitare interioară și/sau exterioară 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lastRenderedPageBreak/>
        <w:t>Deșeurile reciclabile colectate separat</w:t>
      </w:r>
      <w:r>
        <w:rPr>
          <w:rFonts w:ascii="Verdana" w:hAnsi="Verdana" w:cs="Verdana"/>
          <w:sz w:val="18"/>
          <w:szCs w:val="18"/>
          <w:lang w:val="ro-RO"/>
        </w:rPr>
        <w:t xml:space="preserve"> de pe teritoriul tuturor unităților administrativ teritoriale care fac parte din Zona 1 Reșița vor fi transportate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similarereciclabile colectate separat care nu ajung în stația de sortare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generatori la CMID Lupac va fi asigurat de către operatorul de colectare din Zona 1 Reșița.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 xml:space="preserve">Deșeurile reziduale colectate în amestec cu deșeurile biodeșeuri </w:t>
      </w:r>
      <w:r>
        <w:rPr>
          <w:rFonts w:ascii="Verdana" w:hAnsi="Verdana" w:cs="Verdana"/>
          <w:sz w:val="18"/>
          <w:szCs w:val="18"/>
          <w:lang w:val="ro-RO"/>
        </w:rPr>
        <w:t>vor fi transportate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generatori la CMID Lupac va fi asigurat de către operatorul de colectare din Zona 1 Reșița.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pe amplasamentul CMID Lupac de către operatorul de colectare și transport, urmând a fi eliminate la operatori economici autorizați. Responsabilitatea eliminării acestora o are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pe amplasamentul CMID Lupac de către operatorul de colectare și transport, urmând a fi valorificate dacă este posibil și fezabil din punct de vedere tehnico-economic, fracția care nu poate fi valorificată fiind eliminată la depozitul conform de la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 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 eliminată la un depozit, care acceptă acest tip de deșeuri. Valorificarea acestora și transportul în vederea eliminării la depozitul conform va fi realizată de către operatorul de colectare și transport din Zona 1 Reșița.</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de echipamente electrice și electronice colectate separat vor fi preluate din spațiile de stocare temporară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de către serviciul specializat din cadrul Primăriei Reșița vor fi transportate de către Operatorul de colectare desemnat prin licitație pe zona Reșițasau de către Operatorul serviciului Specializat din cadrul primăriei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 sau de către Delegat, contra cost, la cerere.</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Locuitorii din zona periurbanăa municipiilor Reșița și Caransebeș, respectiv a orașelor Anina și Bocșa și 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2 Bozovici</w:t>
      </w:r>
    </w:p>
    <w:p>
      <w:pPr>
        <w:spacing w:after="240" w:line="276" w:lineRule="auto"/>
        <w:jc w:val="both"/>
        <w:rPr>
          <w:rFonts w:ascii="Verdana" w:hAnsi="Verdana" w:cs="Verdana"/>
          <w:sz w:val="18"/>
          <w:szCs w:val="18"/>
          <w:lang w:val="ro-RO"/>
        </w:rPr>
      </w:pPr>
      <w:r>
        <w:rPr>
          <w:rFonts w:ascii="Verdana" w:hAnsi="Verdana" w:cs="Verdana"/>
          <w:sz w:val="18"/>
          <w:szCs w:val="18"/>
          <w:lang w:val="ro-RO"/>
        </w:rPr>
        <w:t>Din zona 2 Bozovici fac parte unități administrativ-teritoriale situate numai în mediul rural – și anume 8 comune – Bozovici, Lapusnicel, Prigor, Eftimie Murgu, Lăpușnicu Mare, Dalboset, Bania și Șopotu Nou.</w:t>
      </w:r>
    </w:p>
    <w:p>
      <w:pPr>
        <w:spacing w:after="240" w:line="276" w:lineRule="auto"/>
        <w:jc w:val="both"/>
        <w:rPr>
          <w:rFonts w:ascii="Verdana" w:hAnsi="Verdana" w:cs="Verdana"/>
          <w:sz w:val="18"/>
          <w:szCs w:val="18"/>
          <w:lang w:val="ro-RO"/>
        </w:rPr>
      </w:pPr>
      <w:r>
        <w:rPr>
          <w:rFonts w:ascii="Verdana" w:hAnsi="Verdana" w:cs="Verdana"/>
          <w:sz w:val="18"/>
          <w:szCs w:val="18"/>
          <w:lang w:val="ro-RO"/>
        </w:rPr>
        <w:t>Serviciul de colectare și transport al deșeurilor va fi delegat unui singur operator de salubrizare,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similare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 neasimilabile celor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echipamente electrice și electronice;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interioară a locuințelor/apartamentelor proprietate individuală.</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reciclabile colectate separat</w:t>
      </w:r>
      <w:r>
        <w:rPr>
          <w:rFonts w:ascii="Verdana" w:hAnsi="Verdana" w:cs="Verdana"/>
          <w:sz w:val="18"/>
          <w:szCs w:val="18"/>
          <w:lang w:val="ro-RO"/>
        </w:rPr>
        <w:t xml:space="preserve"> de pe teritoriul tuturor unităților administrativ-teritoriale care fac parte din Zona 2 Bozovici vor fi transportate, prin intermediul stației de transfer de la Bozovici,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stația de transfer Bozovici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asimilabile reciclabile colectate separat care nu ajung în stația de sortare (ex. sticla)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reziduale colectate în amestec cu deșeurile biodegradabile</w:t>
      </w:r>
      <w:r>
        <w:rPr>
          <w:rFonts w:ascii="Verdana" w:hAnsi="Verdana" w:cs="Verdana"/>
          <w:sz w:val="18"/>
          <w:szCs w:val="18"/>
          <w:lang w:val="ro-RO"/>
        </w:rPr>
        <w:t xml:space="preserve"> vor fi transportate, prin intermediul stației de transfer Bozovici,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stația de transfer Bozovici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pe amplasamentul stației de transfer Bozovici de către operatorul de colectare și transport, urmând a fi eliminate la operatori economici autorizați. Responsabilitatea eliminării acestora o are operatorul stației de transfer Bozovici.</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pe amplasamentul stației de transfer Bozovici de către operatorul de colectare și transport, urmând a fi valorificate dacă este posibil și fezabil din punct de vedere tehnico-economic, fracția care nu poate fi </w:t>
      </w:r>
      <w:r>
        <w:rPr>
          <w:rFonts w:ascii="Verdana" w:hAnsi="Verdana" w:cs="Verdana"/>
          <w:sz w:val="18"/>
          <w:szCs w:val="18"/>
          <w:lang w:val="ro-RO"/>
        </w:rPr>
        <w:lastRenderedPageBreak/>
        <w:t>valorificată fiind eliminată la depozitul conform de la Lupac. Responsabilitatea valorificării/eliminării acestora o are operatorul stației de transfer Bozovici. Transportul în vederea eliminării la depozitul conform va fi realizat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 eliminată la un depozit care acceptă acest tip de deșeuri. Valorificarea acestora și transportul în vederea eliminării la depozitul conform va fi realizat de către operatorul de colectare și transport din Zona 2 Bozovici.</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de echipamente electrice și electronice colectate separat</w:t>
      </w:r>
      <w:r>
        <w:rPr>
          <w:rFonts w:ascii="Verdana" w:hAnsi="Verdana" w:cs="Verdana"/>
          <w:sz w:val="18"/>
          <w:szCs w:val="18"/>
          <w:lang w:val="ro-RO"/>
        </w:rPr>
        <w:t xml:space="preserve"> vor fi preluate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 xml:space="preserve"> vor fi transportate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3 Pojejena</w:t>
      </w:r>
    </w:p>
    <w:p>
      <w:pPr>
        <w:spacing w:after="240" w:line="276" w:lineRule="auto"/>
        <w:jc w:val="both"/>
        <w:rPr>
          <w:rFonts w:ascii="Verdana" w:hAnsi="Verdana" w:cs="Verdana"/>
          <w:sz w:val="18"/>
          <w:szCs w:val="18"/>
          <w:lang w:val="ro-RO"/>
        </w:rPr>
      </w:pPr>
      <w:r>
        <w:rPr>
          <w:rFonts w:ascii="Verdana" w:hAnsi="Verdana" w:cs="Verdana"/>
          <w:sz w:val="18"/>
          <w:szCs w:val="18"/>
          <w:lang w:val="ro-RO"/>
        </w:rPr>
        <w:t>Din zona 3Pojejena fac parte următoarele unități administrativ-teritoriale: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urban – orașul Moldova Nouă;</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rural – comuneleBerzasca, Sichevița, Coronini/Pescari, Pojejena, Socol și Garnic.</w:t>
      </w:r>
    </w:p>
    <w:p>
      <w:pPr>
        <w:spacing w:after="240" w:line="276" w:lineRule="auto"/>
        <w:jc w:val="both"/>
        <w:rPr>
          <w:rFonts w:ascii="Verdana" w:hAnsi="Verdana" w:cs="Verdana"/>
          <w:sz w:val="18"/>
          <w:szCs w:val="18"/>
          <w:lang w:val="ro-RO"/>
        </w:rPr>
      </w:pPr>
      <w:r>
        <w:rPr>
          <w:rFonts w:ascii="Verdana" w:hAnsi="Verdana" w:cs="Verdana"/>
          <w:sz w:val="18"/>
          <w:szCs w:val="18"/>
          <w:lang w:val="ro-RO"/>
        </w:rPr>
        <w:t>Serviciul de colectare și transport a deșeurilor va fi delegat unui singur operator  de salubrizare,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biodegradabile);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similare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de echipamente electrice și electronice;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interioară a locuințelor/apartamentelor proprietate individuală.</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reciclabile colectate separat</w:t>
      </w:r>
      <w:r>
        <w:rPr>
          <w:rFonts w:ascii="Verdana" w:hAnsi="Verdana" w:cs="Verdana"/>
          <w:sz w:val="18"/>
          <w:szCs w:val="18"/>
          <w:lang w:val="ro-RO"/>
        </w:rPr>
        <w:t xml:space="preserve"> de pe teritoriul tuturor unităților administrativ-teritoriale care fac parte din Zona 3 Pojejena vor fi transportate, prin intermediul stației de transfer de la Pojejena,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stația de transfer Pojejena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lastRenderedPageBreak/>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similare reciclabile colectate separat care nu ajung în stația de sortare (ex. sticla)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reziduale colectate în amestec cu deșeurile biodegradabile</w:t>
      </w:r>
      <w:r>
        <w:rPr>
          <w:rFonts w:ascii="Verdana" w:hAnsi="Verdana" w:cs="Verdana"/>
          <w:sz w:val="18"/>
          <w:szCs w:val="18"/>
          <w:lang w:val="ro-RO"/>
        </w:rPr>
        <w:t xml:space="preserve"> vor fi transportate, prin intermediul stației de transfer Pojejena,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stația de transfer Pojejena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pe amplasamentul stației de transfer Pojejena de către operatorul de colectare și transport, urmând a fi eliminate la operatori economici autorizați. Responsabilitatea eliminării acestora o are operatorul stației de transfer Pojejena.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pe amplasamentul stației de transfer Pojejena de către operatorul de colectare și transport, urmând a fi valorificate dacă este posibil și fezabil din punct de vedere tehnico-economic, fracția care nu poate fi valorificată fiind eliminată la depozitul conform de la Lupac. Responsabilitatea valorificării/eliminării acestora o are operatorul stației de transfer Pojejena. Transportul în vederea eliminării la depozitul conform va fi realizat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 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 eliminată la un depozit care acceptă acest tip de deșeuri. </w:t>
      </w:r>
      <w:r>
        <w:rPr>
          <w:rFonts w:ascii="Verdana" w:hAnsi="Verdana" w:cs="Verdana"/>
          <w:strike/>
          <w:sz w:val="18"/>
          <w:szCs w:val="18"/>
          <w:lang w:val="ro-RO"/>
        </w:rPr>
        <w:t>conform de la Lupac.</w:t>
      </w:r>
      <w:r>
        <w:rPr>
          <w:rFonts w:ascii="Verdana" w:hAnsi="Verdana" w:cs="Verdana"/>
          <w:sz w:val="18"/>
          <w:szCs w:val="18"/>
          <w:lang w:val="ro-RO"/>
        </w:rPr>
        <w:t>. Valorificarea acestora și transportul în vederea eliminării la depozitul conform va fi realizat de către operatorul de colectare și transport din Zona 3 Pojejena.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de echipamente electrice și electronice colectate separat</w:t>
      </w:r>
      <w:r>
        <w:rPr>
          <w:rFonts w:ascii="Verdana" w:hAnsi="Verdana" w:cs="Verdana"/>
          <w:sz w:val="18"/>
          <w:szCs w:val="18"/>
          <w:lang w:val="ro-RO"/>
        </w:rPr>
        <w:t xml:space="preserve"> vor fi preluate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 xml:space="preserve"> vor fi transportate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Locuitorii din zona periurbană a orașului Moldova Nouă și 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p>
      <w:pPr>
        <w:spacing w:after="240" w:line="276" w:lineRule="auto"/>
        <w:jc w:val="both"/>
        <w:rPr>
          <w:rFonts w:ascii="Verdana" w:hAnsi="Verdana" w:cs="Verdana"/>
          <w:b/>
          <w:bCs/>
          <w:sz w:val="18"/>
          <w:szCs w:val="18"/>
          <w:u w:val="single"/>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4 Oravița</w:t>
      </w:r>
    </w:p>
    <w:p>
      <w:pPr>
        <w:spacing w:after="240" w:line="276" w:lineRule="auto"/>
        <w:jc w:val="both"/>
        <w:rPr>
          <w:rFonts w:ascii="Verdana" w:hAnsi="Verdana" w:cs="Verdana"/>
          <w:sz w:val="18"/>
          <w:szCs w:val="18"/>
          <w:lang w:val="ro-RO"/>
        </w:rPr>
      </w:pPr>
      <w:bookmarkStart w:id="81" w:name="OLE_LINK2"/>
      <w:bookmarkStart w:id="82" w:name="OLE_LINK3"/>
      <w:r>
        <w:rPr>
          <w:rFonts w:ascii="Verdana" w:hAnsi="Verdana" w:cs="Verdana"/>
          <w:sz w:val="18"/>
          <w:szCs w:val="18"/>
          <w:lang w:val="ro-RO"/>
        </w:rPr>
        <w:t>Din zona 4 Oravița fac parte următoarele unități administrativ-teritoriale: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urban – orașul Oravița;</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rural – comunele Ticvaniu Mare, Ciclova Română, Racasdia, Vrani, Varadia, Berliște, Ciuchici, Sasca Montana, Cărbunari, Naidas, Ciudanovița, Grădinari și Forotic.</w:t>
      </w:r>
    </w:p>
    <w:p>
      <w:pPr>
        <w:spacing w:after="240" w:line="276" w:lineRule="auto"/>
        <w:jc w:val="both"/>
        <w:rPr>
          <w:rFonts w:ascii="Verdana" w:hAnsi="Verdana" w:cs="Verdana"/>
          <w:sz w:val="18"/>
          <w:szCs w:val="18"/>
          <w:lang w:val="ro-RO"/>
        </w:rPr>
      </w:pPr>
      <w:r>
        <w:rPr>
          <w:rFonts w:ascii="Verdana" w:hAnsi="Verdana" w:cs="Verdana"/>
          <w:sz w:val="18"/>
          <w:szCs w:val="18"/>
          <w:lang w:val="ro-RO"/>
        </w:rPr>
        <w:lastRenderedPageBreak/>
        <w:t>Serviciul de colectare și transport a deșeurilor va fi delegat unui singur operator  de salubrizare,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biodegradabile);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asimilabile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 neasimilabile celor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interioara a locuințelor/apartamentelor proprietate individuală.</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reciclabile colectate separat</w:t>
      </w:r>
      <w:r>
        <w:rPr>
          <w:rFonts w:ascii="Verdana" w:hAnsi="Verdana" w:cs="Verdana"/>
          <w:sz w:val="18"/>
          <w:szCs w:val="18"/>
          <w:lang w:val="ro-RO"/>
        </w:rPr>
        <w:t xml:space="preserve"> de pe teritoriul tuturor unităților administrativ-teritoriale care fac parte din Zona 4Oravița vor fi transportate, prin intermediul stației de transfer de la Oravița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stația de transfer Oravița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asimilabile reciclabile colectate separat care nu ajung în stația de sortare (ex. sticla)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reziduale colectate în amestec cu deșeurile biodegradabile</w:t>
      </w:r>
      <w:r>
        <w:rPr>
          <w:rFonts w:ascii="Verdana" w:hAnsi="Verdana" w:cs="Verdana"/>
          <w:sz w:val="18"/>
          <w:szCs w:val="18"/>
          <w:lang w:val="ro-RO"/>
        </w:rPr>
        <w:t xml:space="preserve"> vor fi transportate, prin intermediul stației de transfer Oravița,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stația de transfer Oravița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lalocul special amenajat de către operatorul de colectare și transport, urmând a fi eliminate la operatori economici autorizați. Responsabilitatea eliminării acestora o are operatorul de colectare și transport.</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la locul special amenajat de către operatorul de colectare și transport de către operatorul de colectare și transport, urmând a fi valorificate dacă este posibil și fezabil din punct de vedere tehnico-economic, fracția care nu poate fi valorificată fiind eliminată la depozitul conform de la Lupac. Responsabilitatea valorificării/eliminării acestora o are operatorul de colectare și transport. Transportul în vederea eliminării la depozitul conform va fi realizat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 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 eliminată la un depozit, care acceptă acest tip de deșeuri.</w:t>
      </w:r>
      <w:r>
        <w:rPr>
          <w:rFonts w:ascii="Verdana" w:hAnsi="Verdana" w:cs="Verdana"/>
          <w:strike/>
          <w:sz w:val="18"/>
          <w:szCs w:val="18"/>
          <w:lang w:val="ro-RO"/>
        </w:rPr>
        <w:t>conform de la Lupac.</w:t>
      </w:r>
      <w:r>
        <w:rPr>
          <w:rFonts w:ascii="Verdana" w:hAnsi="Verdana" w:cs="Verdana"/>
          <w:sz w:val="18"/>
          <w:szCs w:val="18"/>
          <w:lang w:val="ro-RO"/>
        </w:rPr>
        <w:t xml:space="preserve"> Valorificarea acestora și transportul în vederea eliminării la depozitul conform va fi realizat de către operatorul de colectare și transport din Zona 4 Oravița.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lastRenderedPageBreak/>
        <w:t>Deșeurile de echipamente electrice și electronice colectate separat</w:t>
      </w:r>
      <w:r>
        <w:rPr>
          <w:rFonts w:ascii="Verdana" w:hAnsi="Verdana" w:cs="Verdana"/>
          <w:sz w:val="18"/>
          <w:szCs w:val="18"/>
          <w:lang w:val="ro-RO"/>
        </w:rPr>
        <w:t xml:space="preserve"> vor fi preluate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 xml:space="preserve"> vor fi transportate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Locuitorii din zona periurbană a orașului Oravița și 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bookmarkEnd w:id="81"/>
    <w:bookmarkEnd w:id="82"/>
    <w:p>
      <w:pPr>
        <w:spacing w:after="240" w:line="276" w:lineRule="auto"/>
        <w:jc w:val="both"/>
        <w:rPr>
          <w:rFonts w:ascii="Verdana" w:hAnsi="Verdana" w:cs="Verdana"/>
          <w:sz w:val="18"/>
          <w:szCs w:val="18"/>
          <w:highlight w:val="yellow"/>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5 Băile Herculane</w:t>
      </w:r>
    </w:p>
    <w:p>
      <w:pPr>
        <w:spacing w:after="240" w:line="276" w:lineRule="auto"/>
        <w:jc w:val="both"/>
        <w:rPr>
          <w:rFonts w:ascii="Verdana" w:hAnsi="Verdana" w:cs="Verdana"/>
          <w:sz w:val="18"/>
          <w:szCs w:val="18"/>
          <w:lang w:val="ro-RO"/>
        </w:rPr>
      </w:pPr>
      <w:r>
        <w:rPr>
          <w:rFonts w:ascii="Verdana" w:hAnsi="Verdana" w:cs="Verdana"/>
          <w:sz w:val="18"/>
          <w:szCs w:val="18"/>
          <w:lang w:val="ro-RO"/>
        </w:rPr>
        <w:t>Din zona 5 Băile Herculane fac parte următoarele unități administrativ-teritoriale: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urban – orașul Băile Herculane;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rural – comunele Cornea, Cornereva, Luncavița, Mehadica, Iablanița, Mehadia, Toplet și Domasnea.</w:t>
      </w:r>
    </w:p>
    <w:p>
      <w:pPr>
        <w:spacing w:after="240" w:line="276" w:lineRule="auto"/>
        <w:jc w:val="both"/>
        <w:rPr>
          <w:rFonts w:ascii="Verdana" w:hAnsi="Verdana" w:cs="Verdana"/>
          <w:sz w:val="18"/>
          <w:szCs w:val="18"/>
          <w:lang w:val="ro-RO"/>
        </w:rPr>
      </w:pPr>
      <w:r>
        <w:rPr>
          <w:rFonts w:ascii="Verdana" w:hAnsi="Verdana" w:cs="Verdana"/>
          <w:sz w:val="18"/>
          <w:szCs w:val="18"/>
          <w:lang w:val="ro-RO"/>
        </w:rPr>
        <w:t>Serviciul de colectare și transport a deșeurilor va fi delegat unui singur operator  de salubrizare,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biodegradabile);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asimilabile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 neasimilabile celor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echipamente electrice și electronice;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interioară a locuințelor/apartamentelor proprietate individuală.</w:t>
      </w:r>
    </w:p>
    <w:p>
      <w:pPr>
        <w:spacing w:after="240" w:line="276" w:lineRule="auto"/>
        <w:jc w:val="both"/>
        <w:rPr>
          <w:rFonts w:ascii="Verdana" w:hAnsi="Verdana" w:cs="Verdana"/>
          <w:sz w:val="18"/>
          <w:szCs w:val="18"/>
          <w:u w:val="single"/>
          <w:lang w:val="ro-RO"/>
        </w:rPr>
      </w:pP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reciclabile colectate separat</w:t>
      </w:r>
      <w:r>
        <w:rPr>
          <w:rFonts w:ascii="Verdana" w:hAnsi="Verdana" w:cs="Verdana"/>
          <w:sz w:val="18"/>
          <w:szCs w:val="18"/>
          <w:lang w:val="ro-RO"/>
        </w:rPr>
        <w:t xml:space="preserve"> de pe teritoriul tuturor unităților administrativ teritoriale care fac parte din Zona 5Băile Herculane vor fi transportate, prin intermediul stației de transfer de la Băile Herculane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stația de transfer Băile Herculane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asimilabile reciclabile colectate separat care nu ajung în stația de sortare (ex. sticla)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lastRenderedPageBreak/>
        <w:t>Deșeurile reziduale colectate în amestec cu deșeurile biodegradabile</w:t>
      </w:r>
      <w:r>
        <w:rPr>
          <w:rFonts w:ascii="Verdana" w:hAnsi="Verdana" w:cs="Verdana"/>
          <w:sz w:val="18"/>
          <w:szCs w:val="18"/>
          <w:lang w:val="ro-RO"/>
        </w:rPr>
        <w:t xml:space="preserve"> vor fi transportate, prin intermediul stației de transfer Băile Herculane,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stația de transfer Băile Herculane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la locul special amenajat de către operatorul de colectare și transport, urmând a fi eliminate la operatori economici autorizați. Responsabilitatea eliminării acestora o are operatorul de colectare și transport.</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la locul special amenajat de către operatorul de colectare și transport de către operatorul de colectare și transport, urmând a fi valorificate dacă este posibil și fezabil din punct de vedere tehnico-economic, fracția care nu poate fi valorificată fiind eliminată la depozitul conform de la Lupac. Responsabilitatea valorificării/eliminării acestora o are operatorul de colectare și transport. Transportul în vederea eliminării la depozitul conform va fi realizat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 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nevalorificabilăeliminată la un depozit care acceptă acest tip de deșeuri.</w:t>
      </w:r>
      <w:r>
        <w:rPr>
          <w:rFonts w:ascii="Verdana" w:hAnsi="Verdana" w:cs="Verdana"/>
          <w:strike/>
          <w:sz w:val="18"/>
          <w:szCs w:val="18"/>
          <w:lang w:val="ro-RO"/>
        </w:rPr>
        <w:t>conform de la Lupac</w:t>
      </w:r>
      <w:r>
        <w:rPr>
          <w:rFonts w:ascii="Verdana" w:hAnsi="Verdana" w:cs="Verdana"/>
          <w:sz w:val="18"/>
          <w:szCs w:val="18"/>
          <w:lang w:val="ro-RO"/>
        </w:rPr>
        <w:t>. Valorificarea acestora și transportul în vederea eliminării la depozitul conform va fi realizat de către operatorul de colectare și transport din Zona 5Băile Herculane.</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de echipamente electrice și electronice colectate separat</w:t>
      </w:r>
      <w:r>
        <w:rPr>
          <w:rFonts w:ascii="Verdana" w:hAnsi="Verdana" w:cs="Verdana"/>
          <w:sz w:val="18"/>
          <w:szCs w:val="18"/>
          <w:lang w:val="ro-RO"/>
        </w:rPr>
        <w:t xml:space="preserve"> vor fi preluate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 xml:space="preserve"> vor fi transportate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Locuitorii din zona periurbană a orașului Băile Herculane și 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p>
      <w:pPr>
        <w:spacing w:after="240" w:line="276" w:lineRule="auto"/>
        <w:jc w:val="both"/>
        <w:rPr>
          <w:rFonts w:ascii="Verdana" w:hAnsi="Verdana" w:cs="Verdana"/>
          <w:b/>
          <w:bCs/>
          <w:sz w:val="18"/>
          <w:szCs w:val="18"/>
          <w:u w:val="single"/>
          <w:lang w:val="ro-RO"/>
        </w:rPr>
      </w:pPr>
    </w:p>
    <w:p>
      <w:pPr>
        <w:spacing w:after="240" w:line="276" w:lineRule="auto"/>
        <w:jc w:val="both"/>
        <w:rPr>
          <w:rFonts w:ascii="Verdana" w:hAnsi="Verdana" w:cs="Verdana"/>
          <w:b/>
          <w:bCs/>
          <w:sz w:val="18"/>
          <w:szCs w:val="18"/>
          <w:u w:val="single"/>
          <w:lang w:val="ro-RO"/>
        </w:rPr>
      </w:pPr>
      <w:r>
        <w:rPr>
          <w:rFonts w:ascii="Verdana" w:hAnsi="Verdana" w:cs="Verdana"/>
          <w:b/>
          <w:bCs/>
          <w:sz w:val="18"/>
          <w:szCs w:val="18"/>
          <w:u w:val="single"/>
          <w:lang w:val="ro-RO"/>
        </w:rPr>
        <w:t>Zona 6 Oțelu Roșu</w:t>
      </w:r>
    </w:p>
    <w:p>
      <w:pPr>
        <w:spacing w:after="240" w:line="276" w:lineRule="auto"/>
        <w:jc w:val="both"/>
        <w:rPr>
          <w:rFonts w:ascii="Verdana" w:hAnsi="Verdana" w:cs="Verdana"/>
          <w:sz w:val="18"/>
          <w:szCs w:val="18"/>
          <w:lang w:val="ro-RO"/>
        </w:rPr>
      </w:pPr>
      <w:r>
        <w:rPr>
          <w:rFonts w:ascii="Verdana" w:hAnsi="Verdana" w:cs="Verdana"/>
          <w:sz w:val="18"/>
          <w:szCs w:val="18"/>
          <w:lang w:val="ro-RO"/>
        </w:rPr>
        <w:t>Din zona 6Oțelu Roșu fac parte următoarele unități administrativ-teritoriale:</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urban – orașul Oțelu Roșu;</w:t>
      </w:r>
    </w:p>
    <w:p>
      <w:pPr>
        <w:numPr>
          <w:ilvl w:val="0"/>
          <w:numId w:val="40"/>
        </w:numPr>
        <w:spacing w:after="240" w:line="276" w:lineRule="auto"/>
        <w:jc w:val="both"/>
        <w:rPr>
          <w:rFonts w:ascii="Verdana" w:hAnsi="Verdana" w:cs="Verdana"/>
          <w:sz w:val="18"/>
          <w:szCs w:val="18"/>
          <w:lang w:val="ro-RO"/>
        </w:rPr>
      </w:pPr>
      <w:r>
        <w:rPr>
          <w:rFonts w:ascii="Verdana" w:hAnsi="Verdana" w:cs="Verdana"/>
          <w:sz w:val="18"/>
          <w:szCs w:val="18"/>
          <w:lang w:val="ro-RO"/>
        </w:rPr>
        <w:t>mediul rural – comunele Bautar, Marga, Rusca Montană, Zăvoi, Glimboca, Obreja, Constantin Daicoviciu și Sacu.</w:t>
      </w:r>
    </w:p>
    <w:p>
      <w:pPr>
        <w:spacing w:after="240" w:line="276" w:lineRule="auto"/>
        <w:jc w:val="both"/>
        <w:rPr>
          <w:rFonts w:ascii="Verdana" w:hAnsi="Verdana" w:cs="Verdana"/>
          <w:sz w:val="18"/>
          <w:szCs w:val="18"/>
          <w:lang w:val="ro-RO"/>
        </w:rPr>
      </w:pPr>
      <w:r>
        <w:rPr>
          <w:rFonts w:ascii="Verdana" w:hAnsi="Verdana" w:cs="Verdana"/>
          <w:sz w:val="18"/>
          <w:szCs w:val="18"/>
          <w:lang w:val="ro-RO"/>
        </w:rPr>
        <w:t>Serviciul de colectare și transport a deșeurilor va fi delegat unui singur operator  de salubrizare, care va colecta separat următoarele categorii de deșeuri:</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menajere (deșeuri reciclabile, deșeuri reziduale – în amestec cu deșeurile biodegradabile);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lastRenderedPageBreak/>
        <w:t>deșeuri periculoase din deșeurile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asimilabile deșeurilor menajere (deșeuri reciclabile, deșeuri reziduale);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voluminoase provenite de la populație, instituții publice și operatori economici, neasimilabile celor menajere;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echipamente electrice și electronice;</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 din construcții și desființări rezultate din activitățile de reamenajare și reabilitare interioară a locuințelor/apartamentelor proprietate individuală;</w:t>
      </w:r>
    </w:p>
    <w:p>
      <w:pPr>
        <w:numPr>
          <w:ilvl w:val="0"/>
          <w:numId w:val="39"/>
        </w:numPr>
        <w:spacing w:after="240" w:line="276" w:lineRule="auto"/>
        <w:jc w:val="both"/>
        <w:rPr>
          <w:rFonts w:ascii="Verdana" w:hAnsi="Verdana" w:cs="Verdana"/>
          <w:sz w:val="18"/>
          <w:szCs w:val="18"/>
          <w:lang w:val="ro-RO"/>
        </w:rPr>
      </w:pPr>
      <w:r>
        <w:rPr>
          <w:rFonts w:ascii="Verdana" w:hAnsi="Verdana" w:cs="Verdana"/>
          <w:sz w:val="18"/>
          <w:szCs w:val="18"/>
          <w:lang w:val="ro-RO"/>
        </w:rPr>
        <w:t>deșeurile din piețele din orașul Oțelu Roșu</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reciclabile colectate separat</w:t>
      </w:r>
      <w:r>
        <w:rPr>
          <w:rFonts w:ascii="Verdana" w:hAnsi="Verdana" w:cs="Verdana"/>
          <w:sz w:val="18"/>
          <w:szCs w:val="18"/>
          <w:lang w:val="ro-RO"/>
        </w:rPr>
        <w:t xml:space="preserve"> de pe teritoriul tuturor unităților administrativ teritoriale care fac parte din Zona 6Oțelu Roșu vor fi transportate, prin intermediul stației de transfer de la Oțelu Roșu, la stația de sortare de la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reciclabile colectate separat de la stația de transfer Oțelu Roșu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Materialele reciclabile rezultate în urma sortării vor fi stocate pe amplasamentul stației de sortare, urmând a fi preluate de operatorii de valorificare, iar reziduurile vor fi transportate în vederea eliminării la depozitul conform de la Lupac, prin grija operatorului CMID Lupac.</w:t>
      </w:r>
    </w:p>
    <w:p>
      <w:pPr>
        <w:spacing w:after="240" w:line="276" w:lineRule="auto"/>
        <w:jc w:val="both"/>
        <w:rPr>
          <w:rFonts w:ascii="Verdana" w:hAnsi="Verdana" w:cs="Verdana"/>
          <w:sz w:val="18"/>
          <w:szCs w:val="18"/>
          <w:lang w:val="ro-RO"/>
        </w:rPr>
      </w:pPr>
      <w:r>
        <w:rPr>
          <w:rFonts w:ascii="Verdana" w:hAnsi="Verdana" w:cs="Verdana"/>
          <w:sz w:val="18"/>
          <w:szCs w:val="18"/>
          <w:lang w:val="ro-RO"/>
        </w:rPr>
        <w:t>Deșeurile asimilabile reciclabile colectate separat care nu ajung în stația de sortare (ex. sticla) sunt transportate direct la operatorii care asigură reciclarea acestora.</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reziduale colectate în amestec cu deșeurile biodegradabile</w:t>
      </w:r>
      <w:r>
        <w:rPr>
          <w:rFonts w:ascii="Verdana" w:hAnsi="Verdana" w:cs="Verdana"/>
          <w:sz w:val="18"/>
          <w:szCs w:val="18"/>
          <w:lang w:val="ro-RO"/>
        </w:rPr>
        <w:t xml:space="preserve"> vor fi transportate, prin intermediul stației de transfer Oțelu Roșu, și tratate în instalația de tratare mecano-biologică de la Lupac.Fracțiatratată va putea fi utilizată ca material de acoperire zilnică a depozitului neconform iar deșeurile reziduale rezultate din procesul de tratare vor fi eliminate pe depozitul conform.</w:t>
      </w:r>
    </w:p>
    <w:p>
      <w:pPr>
        <w:spacing w:after="240" w:line="276" w:lineRule="auto"/>
        <w:jc w:val="both"/>
        <w:rPr>
          <w:rFonts w:ascii="Verdana" w:hAnsi="Verdana" w:cs="Verdana"/>
          <w:sz w:val="18"/>
          <w:szCs w:val="18"/>
          <w:lang w:val="ro-RO"/>
        </w:rPr>
      </w:pPr>
      <w:r>
        <w:rPr>
          <w:rFonts w:ascii="Verdana" w:hAnsi="Verdana" w:cs="Verdana"/>
          <w:sz w:val="18"/>
          <w:szCs w:val="18"/>
          <w:lang w:val="ro-RO"/>
        </w:rPr>
        <w:t>Transportul deșeurilor reziduale colectate în amestec cu deșeurile biodegradabile de la stația de transfer Oțelu Roșu la CMID Lupac va fi asigurat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periculoase din deșeurile menajere colectate separat</w:t>
      </w:r>
      <w:r>
        <w:rPr>
          <w:rFonts w:ascii="Verdana" w:hAnsi="Verdana" w:cs="Verdana"/>
          <w:sz w:val="18"/>
          <w:szCs w:val="18"/>
          <w:lang w:val="ro-RO"/>
        </w:rPr>
        <w:t xml:space="preserve"> vor fi transportate și stocate temporar pe amplasamentul stației de transfer Oțelu Roșu de către operatorul de colectare și transport, urmând a fi eliminate la operatori economici autorizați. Responsabilitatea eliminării acestora o are operatorul stației de transfer Oțelu Roșu.</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voluminoase colectate separat</w:t>
      </w:r>
      <w:r>
        <w:rPr>
          <w:rFonts w:ascii="Verdana" w:hAnsi="Verdana" w:cs="Verdana"/>
          <w:sz w:val="18"/>
          <w:szCs w:val="18"/>
          <w:lang w:val="ro-RO"/>
        </w:rPr>
        <w:t xml:space="preserve"> vor fi transportate și stocate temporar pe amplasamentul stației de transfer Oțelu Roșu de către operatorul de colectare și transport, urmând a fi valorificate dacă este posibil și fezabil din punct de vedere tehnico-economic, fracția care nu poate fi valorificată fiind eliminată la depozitul conform de la Lupac. Responsabilitatea valorificării/eliminării acestora o are operatorul stației de transfer Oțelu Roșu. Transportul în vederea eliminării la depozitul conform va fi realizat de către operatorul CMID Lupac.</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din construcții și desființări colectate separat</w:t>
      </w:r>
      <w:r>
        <w:rPr>
          <w:rFonts w:ascii="Verdana" w:hAnsi="Verdana" w:cs="Verdana"/>
          <w:sz w:val="18"/>
          <w:szCs w:val="18"/>
          <w:lang w:val="ro-RO"/>
        </w:rPr>
        <w:t xml:space="preserve"> (doar cele rezultate din activitățile de amenajare și reabilitare a locuințelor proprietate individuală) vor fi valorificate (dacă este posibil) și fracția nevalorificabilă eliminată la un depozit care acceptă acest tip de deșeuri</w:t>
      </w:r>
      <w:r>
        <w:rPr>
          <w:rFonts w:ascii="Verdana" w:hAnsi="Verdana" w:cs="Verdana"/>
          <w:strike/>
          <w:sz w:val="18"/>
          <w:szCs w:val="18"/>
          <w:lang w:val="ro-RO"/>
        </w:rPr>
        <w:t>conform de la Lupac</w:t>
      </w:r>
      <w:r>
        <w:rPr>
          <w:rFonts w:ascii="Verdana" w:hAnsi="Verdana" w:cs="Verdana"/>
          <w:sz w:val="18"/>
          <w:szCs w:val="18"/>
          <w:lang w:val="ro-RO"/>
        </w:rPr>
        <w:t>. Valorificarea acestora și transportul în vederea eliminării la depozitul conform va fi realizat de către operatorul de colectare și transport din Zona 6 Oțelu Roșu.</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de echipamente electrice și electronice colectate separat</w:t>
      </w:r>
      <w:r>
        <w:rPr>
          <w:rFonts w:ascii="Verdana" w:hAnsi="Verdana" w:cs="Verdana"/>
          <w:sz w:val="18"/>
          <w:szCs w:val="18"/>
          <w:lang w:val="ro-RO"/>
        </w:rPr>
        <w:t xml:space="preserve"> vor fi preluate de către operatorii de valorificare sau de asociațiile colective care acționează în numele acestora.</w:t>
      </w:r>
    </w:p>
    <w:p>
      <w:pPr>
        <w:spacing w:after="240" w:line="276" w:lineRule="auto"/>
        <w:jc w:val="both"/>
        <w:rPr>
          <w:rFonts w:ascii="Verdana" w:hAnsi="Verdana" w:cs="Verdana"/>
          <w:sz w:val="18"/>
          <w:szCs w:val="18"/>
          <w:lang w:val="ro-RO"/>
        </w:rPr>
      </w:pPr>
      <w:r>
        <w:rPr>
          <w:rFonts w:ascii="Verdana" w:hAnsi="Verdana" w:cs="Verdana"/>
          <w:sz w:val="18"/>
          <w:szCs w:val="18"/>
          <w:lang w:val="ro-RO"/>
        </w:rPr>
        <w:lastRenderedPageBreak/>
        <w:t>Deșeurile din piețele de pe teritoriul orașului Oțelu Roșu colectate separat vor fi transportate la stația de sortare de la Lupac (fracțiile reciclabile uscate), respectiv la instalația de tratare mecano-biologică și la depozitul conform de la Lupac (fracția biodegradabilă colectată în amestec cu fracția reziduală).</w:t>
      </w:r>
    </w:p>
    <w:p>
      <w:pPr>
        <w:spacing w:after="240" w:line="276" w:lineRule="auto"/>
        <w:jc w:val="both"/>
        <w:rPr>
          <w:rFonts w:ascii="Verdana" w:hAnsi="Verdana" w:cs="Verdana"/>
          <w:sz w:val="18"/>
          <w:szCs w:val="18"/>
          <w:lang w:val="ro-RO"/>
        </w:rPr>
      </w:pPr>
      <w:r>
        <w:rPr>
          <w:rFonts w:ascii="Verdana" w:hAnsi="Verdana" w:cs="Verdana"/>
          <w:sz w:val="18"/>
          <w:szCs w:val="18"/>
          <w:u w:val="single"/>
          <w:lang w:val="ro-RO"/>
        </w:rPr>
        <w:t>Deșeurile verzi din parcuri și grădini colectate separat</w:t>
      </w:r>
      <w:r>
        <w:rPr>
          <w:rFonts w:ascii="Verdana" w:hAnsi="Verdana" w:cs="Verdana"/>
          <w:sz w:val="18"/>
          <w:szCs w:val="18"/>
          <w:lang w:val="ro-RO"/>
        </w:rPr>
        <w:t xml:space="preserve"> vor fi transportate la instalația de tratare mecano-biologică de la Lupac (sunt prevăzute celule separate pentru compostarea acestora). Compostul rezultat poate fi utilizat la întreținerea spațiilor verzi din zonă. Transportul în vederea tratării va fi asigurat de către operatorul economic care gestionează această categorie de deșeuri.</w:t>
      </w:r>
    </w:p>
    <w:p>
      <w:pPr>
        <w:spacing w:after="240" w:line="276" w:lineRule="auto"/>
        <w:jc w:val="both"/>
        <w:rPr>
          <w:rFonts w:ascii="Verdana" w:hAnsi="Verdana" w:cs="Verdana"/>
          <w:sz w:val="18"/>
          <w:szCs w:val="18"/>
          <w:lang w:val="ro-RO"/>
        </w:rPr>
      </w:pPr>
      <w:r>
        <w:rPr>
          <w:rFonts w:ascii="Verdana" w:hAnsi="Verdana" w:cs="Verdana"/>
          <w:sz w:val="18"/>
          <w:szCs w:val="18"/>
          <w:lang w:val="ro-RO"/>
        </w:rPr>
        <w:t xml:space="preserve">Locuitorii din zona periurbană a orașului Oțelu Roșu și circa 34% din locuitorii din mediul rural vor colecta separat deșeurile biodegradabile, asigurând </w:t>
      </w:r>
      <w:r>
        <w:rPr>
          <w:rFonts w:ascii="Verdana" w:hAnsi="Verdana" w:cs="Verdana"/>
          <w:sz w:val="18"/>
          <w:szCs w:val="18"/>
          <w:u w:val="single"/>
          <w:lang w:val="ro-RO"/>
        </w:rPr>
        <w:t>compostarea individuală</w:t>
      </w:r>
      <w:r>
        <w:rPr>
          <w:rFonts w:ascii="Verdana" w:hAnsi="Verdana" w:cs="Verdana"/>
          <w:sz w:val="18"/>
          <w:szCs w:val="18"/>
          <w:lang w:val="ro-RO"/>
        </w:rPr>
        <w:t xml:space="preserve"> a acestora, în  recipiente speciale furnizate.</w:t>
      </w:r>
    </w:p>
    <w:p>
      <w:pPr>
        <w:spacing w:after="240" w:line="276" w:lineRule="auto"/>
        <w:jc w:val="both"/>
        <w:rPr>
          <w:rFonts w:ascii="Verdana" w:hAnsi="Verdana" w:cs="Verdana"/>
          <w:sz w:val="18"/>
          <w:szCs w:val="18"/>
          <w:lang w:val="ro-RO"/>
        </w:rPr>
      </w:pPr>
      <w:r>
        <w:rPr>
          <w:rFonts w:ascii="Verdana" w:hAnsi="Verdana" w:cs="Verdana"/>
          <w:sz w:val="18"/>
          <w:szCs w:val="18"/>
          <w:lang w:val="ro-RO"/>
        </w:rPr>
        <w:t>Înfigura de mai jos este prezentat Sistemul Integrat de Gestionare a deșeurilor din județul Caraș Severin – zonele de colectare și instalațiile de gestionare a deșeurilor existente.</w:t>
      </w:r>
    </w:p>
    <w:p>
      <w:pPr>
        <w:spacing w:after="120" w:line="288" w:lineRule="auto"/>
        <w:rPr>
          <w:rFonts w:ascii="Arial" w:hAnsi="Arial" w:cs="Arial"/>
          <w:b/>
          <w:bCs/>
          <w:sz w:val="22"/>
          <w:szCs w:val="22"/>
          <w:lang w:val="ro-RO"/>
        </w:rPr>
      </w:pPr>
    </w:p>
    <w:p>
      <w:pPr>
        <w:spacing w:after="120" w:line="288" w:lineRule="auto"/>
        <w:rPr>
          <w:rFonts w:ascii="Arial" w:hAnsi="Arial" w:cs="Arial"/>
          <w:b/>
          <w:bCs/>
          <w:sz w:val="22"/>
          <w:szCs w:val="22"/>
          <w:lang w:val="ro-RO"/>
        </w:rPr>
      </w:pPr>
    </w:p>
    <w:p>
      <w:pPr>
        <w:spacing w:after="120" w:line="288" w:lineRule="auto"/>
        <w:rPr>
          <w:rFonts w:ascii="Arial" w:hAnsi="Arial" w:cs="Arial"/>
          <w:b/>
          <w:bCs/>
          <w:sz w:val="22"/>
          <w:szCs w:val="22"/>
          <w:lang w:val="ro-RO"/>
        </w:rPr>
        <w:sectPr>
          <w:pgSz w:w="11909" w:h="16834" w:code="9"/>
          <w:pgMar w:top="1440" w:right="1440" w:bottom="1440" w:left="1440" w:header="709" w:footer="709" w:gutter="0"/>
          <w:cols w:space="708"/>
          <w:docGrid w:linePitch="360"/>
        </w:sectPr>
      </w:pPr>
    </w:p>
    <w:p>
      <w:pPr>
        <w:spacing w:after="120" w:line="288" w:lineRule="auto"/>
        <w:jc w:val="center"/>
        <w:rPr>
          <w:rFonts w:ascii="Verdana" w:hAnsi="Verdana" w:cs="Verdana"/>
          <w:b/>
          <w:bCs/>
          <w:sz w:val="18"/>
          <w:szCs w:val="18"/>
          <w:lang w:val="ro-RO"/>
        </w:rPr>
      </w:pPr>
      <w:r>
        <w:rPr>
          <w:rFonts w:ascii="Verdana" w:hAnsi="Verdana" w:cs="Verdana"/>
          <w:b/>
          <w:bCs/>
          <w:sz w:val="18"/>
          <w:szCs w:val="18"/>
          <w:lang w:val="ro-RO"/>
        </w:rPr>
        <w:lastRenderedPageBreak/>
        <w:t>Sistemul integrat de gestionare a deșeurilor în județul Caraș-Severin – zonele de colectare și instalațiile de gestionare a deșeurilor existente</w:t>
      </w:r>
    </w:p>
    <w:p>
      <w:pPr>
        <w:spacing w:after="120" w:line="288" w:lineRule="auto"/>
        <w:jc w:val="center"/>
        <w:rPr>
          <w:rFonts w:ascii="Verdana" w:hAnsi="Verdana" w:cs="Verdana"/>
          <w:sz w:val="18"/>
          <w:szCs w:val="18"/>
          <w:lang w:val="ro-RO"/>
        </w:rPr>
      </w:pPr>
      <w:r>
        <w:rPr>
          <w:rFonts w:ascii="Verdana" w:hAnsi="Verdana" w:cs="Verdana"/>
          <w:noProof/>
          <w:sz w:val="18"/>
          <w:szCs w:val="18"/>
        </w:rPr>
        <w:drawing>
          <wp:inline distT="0" distB="0" distL="0" distR="0">
            <wp:extent cx="8181975" cy="576453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181975" cy="5764530"/>
                    </a:xfrm>
                    <a:prstGeom prst="rect">
                      <a:avLst/>
                    </a:prstGeom>
                    <a:noFill/>
                    <a:ln w="9525">
                      <a:noFill/>
                      <a:miter lim="800000"/>
                      <a:headEnd/>
                      <a:tailEnd/>
                    </a:ln>
                  </pic:spPr>
                </pic:pic>
              </a:graphicData>
            </a:graphic>
          </wp:inline>
        </w:drawing>
      </w:r>
    </w:p>
    <w:p>
      <w:pPr>
        <w:spacing w:after="120" w:line="288" w:lineRule="auto"/>
        <w:jc w:val="center"/>
        <w:rPr>
          <w:rFonts w:ascii="Verdana" w:hAnsi="Verdana" w:cs="Verdana"/>
          <w:b/>
          <w:bCs/>
          <w:sz w:val="18"/>
          <w:szCs w:val="18"/>
          <w:lang w:val="ro-RO"/>
        </w:rPr>
        <w:sectPr>
          <w:pgSz w:w="16834" w:h="11909" w:orient="landscape" w:code="9"/>
          <w:pgMar w:top="864" w:right="864" w:bottom="864" w:left="864" w:header="706" w:footer="706" w:gutter="0"/>
          <w:cols w:space="708"/>
          <w:docGrid w:linePitch="360"/>
        </w:sectPr>
      </w:pPr>
    </w:p>
    <w:p>
      <w:pPr>
        <w:pStyle w:val="StyleHeading1Verdana14ptCenteredBefore0ptAfter"/>
        <w:rPr>
          <w:lang w:val="ro-RO"/>
        </w:rPr>
      </w:pPr>
      <w:bookmarkStart w:id="83" w:name="_Toc41469127"/>
      <w:r>
        <w:rPr>
          <w:lang w:val="ro-RO"/>
        </w:rPr>
        <w:lastRenderedPageBreak/>
        <w:t>ANEXA 3</w:t>
      </w:r>
      <w:r>
        <w:rPr>
          <w:lang w:val="ro-RO"/>
        </w:rPr>
        <w:tab/>
        <w:t>LOCALITĂȚI CU MAI PUȚIN DE 100 LOCUITORI ÎN CARE NU SE REALIZEAZĂ COLECTAREA SEPARATĂ A DEȘEURILOR RECICLABILE</w:t>
      </w:r>
      <w:bookmarkEnd w:id="83"/>
    </w:p>
    <w:p>
      <w:pPr>
        <w:spacing w:after="120" w:line="288" w:lineRule="auto"/>
        <w:jc w:val="center"/>
        <w:rPr>
          <w:rFonts w:ascii="Verdana" w:hAnsi="Verdana" w:cs="Verdana"/>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466"/>
        <w:gridCol w:w="1890"/>
        <w:gridCol w:w="1511"/>
      </w:tblGrid>
      <w:tr>
        <w:trPr>
          <w:tblHeader/>
          <w:jc w:val="center"/>
        </w:trPr>
        <w:tc>
          <w:tcPr>
            <w:tcW w:w="585" w:type="dxa"/>
            <w:shd w:val="clear" w:color="auto" w:fill="99CCFF"/>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Nr. crt.</w:t>
            </w:r>
          </w:p>
        </w:tc>
        <w:tc>
          <w:tcPr>
            <w:tcW w:w="2466" w:type="dxa"/>
            <w:shd w:val="clear" w:color="auto" w:fill="99CCFF"/>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Comuna</w:t>
            </w:r>
          </w:p>
        </w:tc>
        <w:tc>
          <w:tcPr>
            <w:tcW w:w="1890" w:type="dxa"/>
            <w:shd w:val="clear" w:color="auto" w:fill="99CCFF"/>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Localitate</w:t>
            </w:r>
          </w:p>
        </w:tc>
        <w:tc>
          <w:tcPr>
            <w:tcW w:w="1511" w:type="dxa"/>
            <w:shd w:val="clear" w:color="auto" w:fill="99CCFF"/>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Număr locuitori</w:t>
            </w:r>
            <w:r>
              <w:rPr>
                <w:rStyle w:val="FootnoteReference"/>
                <w:rFonts w:ascii="Verdana" w:hAnsi="Verdana" w:cs="Verdana"/>
                <w:b/>
                <w:bCs/>
                <w:sz w:val="18"/>
                <w:szCs w:val="18"/>
                <w:lang w:val="ro-RO"/>
              </w:rPr>
              <w:footnoteReference w:id="1"/>
            </w:r>
          </w:p>
        </w:tc>
      </w:tr>
      <w:tr>
        <w:trPr>
          <w:trHeight w:val="242"/>
          <w:jc w:val="center"/>
        </w:trPr>
        <w:tc>
          <w:tcPr>
            <w:tcW w:w="6452" w:type="dxa"/>
            <w:gridSpan w:val="4"/>
            <w:shd w:val="clear" w:color="auto" w:fill="E0E0E0"/>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Zona 1 Reșița</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w:t>
            </w:r>
          </w:p>
        </w:tc>
        <w:tc>
          <w:tcPr>
            <w:tcW w:w="2466" w:type="dxa"/>
            <w:vAlign w:val="center"/>
          </w:tcPr>
          <w:p>
            <w:pPr>
              <w:spacing w:line="276" w:lineRule="auto"/>
              <w:rPr>
                <w:rFonts w:ascii="Verdana" w:hAnsi="Verdana" w:cs="Verdana"/>
                <w:sz w:val="18"/>
                <w:szCs w:val="18"/>
                <w:lang w:val="ro-RO"/>
              </w:rPr>
            </w:pPr>
            <w:r>
              <w:rPr>
                <w:rFonts w:ascii="Verdana" w:hAnsi="Verdana" w:cs="Verdana"/>
                <w:sz w:val="18"/>
                <w:szCs w:val="18"/>
                <w:lang w:val="ro-RO"/>
              </w:rPr>
              <w:t>Tarnova</w:t>
            </w:r>
          </w:p>
        </w:tc>
        <w:tc>
          <w:tcPr>
            <w:tcW w:w="1890" w:type="dxa"/>
            <w:vAlign w:val="center"/>
          </w:tcPr>
          <w:p>
            <w:pPr>
              <w:spacing w:line="276" w:lineRule="auto"/>
              <w:rPr>
                <w:rFonts w:ascii="Verdana" w:hAnsi="Verdana" w:cs="Verdana"/>
                <w:sz w:val="18"/>
                <w:szCs w:val="18"/>
                <w:lang w:val="ro-RO"/>
              </w:rPr>
            </w:pPr>
            <w:r>
              <w:rPr>
                <w:rFonts w:ascii="Verdana" w:hAnsi="Verdana" w:cs="Verdana"/>
                <w:sz w:val="18"/>
                <w:szCs w:val="18"/>
                <w:lang w:val="ro-RO"/>
              </w:rPr>
              <w:t>Bratova</w:t>
            </w:r>
          </w:p>
        </w:tc>
        <w:tc>
          <w:tcPr>
            <w:tcW w:w="1511" w:type="dxa"/>
            <w:vAlign w:val="center"/>
          </w:tcPr>
          <w:p>
            <w:pPr>
              <w:spacing w:line="276" w:lineRule="auto"/>
              <w:jc w:val="right"/>
              <w:rPr>
                <w:rFonts w:ascii="Verdana" w:hAnsi="Verdana" w:cs="Verdana"/>
                <w:sz w:val="18"/>
                <w:szCs w:val="18"/>
                <w:lang w:val="ro-RO"/>
              </w:rPr>
            </w:pPr>
            <w:r>
              <w:rPr>
                <w:rFonts w:ascii="Verdana" w:hAnsi="Verdana" w:cs="Verdana"/>
                <w:sz w:val="18"/>
                <w:szCs w:val="18"/>
                <w:lang w:val="ro-RO"/>
              </w:rPr>
              <w:t>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w:t>
            </w:r>
          </w:p>
        </w:tc>
        <w:tc>
          <w:tcPr>
            <w:tcW w:w="2466" w:type="dxa"/>
            <w:vAlign w:val="center"/>
          </w:tcPr>
          <w:p>
            <w:pPr>
              <w:spacing w:line="276" w:lineRule="auto"/>
              <w:rPr>
                <w:rFonts w:ascii="Verdana" w:hAnsi="Verdana" w:cs="Verdana"/>
                <w:sz w:val="18"/>
                <w:szCs w:val="18"/>
                <w:lang w:val="ro-RO"/>
              </w:rPr>
            </w:pPr>
            <w:r>
              <w:rPr>
                <w:rFonts w:ascii="Verdana" w:hAnsi="Verdana" w:cs="Verdana"/>
                <w:sz w:val="18"/>
                <w:szCs w:val="18"/>
                <w:lang w:val="ro-RO"/>
              </w:rPr>
              <w:t>Armenis</w:t>
            </w:r>
          </w:p>
        </w:tc>
        <w:tc>
          <w:tcPr>
            <w:tcW w:w="1890" w:type="dxa"/>
            <w:vAlign w:val="center"/>
          </w:tcPr>
          <w:p>
            <w:pPr>
              <w:spacing w:line="276" w:lineRule="auto"/>
              <w:rPr>
                <w:rFonts w:ascii="Verdana" w:hAnsi="Verdana" w:cs="Verdana"/>
                <w:sz w:val="18"/>
                <w:szCs w:val="18"/>
                <w:lang w:val="ro-RO"/>
              </w:rPr>
            </w:pPr>
            <w:r>
              <w:rPr>
                <w:rFonts w:ascii="Verdana" w:hAnsi="Verdana" w:cs="Verdana"/>
                <w:sz w:val="18"/>
                <w:szCs w:val="18"/>
                <w:lang w:val="ro-RO"/>
              </w:rPr>
              <w:t>Plopu</w:t>
            </w:r>
          </w:p>
        </w:tc>
        <w:tc>
          <w:tcPr>
            <w:tcW w:w="1511" w:type="dxa"/>
            <w:vAlign w:val="center"/>
          </w:tcPr>
          <w:p>
            <w:pPr>
              <w:spacing w:line="276" w:lineRule="auto"/>
              <w:jc w:val="right"/>
              <w:rPr>
                <w:rFonts w:ascii="Verdana" w:hAnsi="Verdana" w:cs="Verdana"/>
                <w:sz w:val="18"/>
                <w:szCs w:val="18"/>
                <w:lang w:val="ro-RO"/>
              </w:rPr>
            </w:pPr>
            <w:r>
              <w:rPr>
                <w:rFonts w:ascii="Verdana" w:hAnsi="Verdana" w:cs="Verdana"/>
                <w:sz w:val="18"/>
                <w:szCs w:val="18"/>
                <w:lang w:val="ro-RO"/>
              </w:rPr>
              <w:t>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w:t>
            </w:r>
          </w:p>
        </w:tc>
        <w:tc>
          <w:tcPr>
            <w:tcW w:w="2466" w:type="dxa"/>
            <w:vAlign w:val="center"/>
          </w:tcPr>
          <w:p>
            <w:pPr>
              <w:spacing w:line="276" w:lineRule="auto"/>
              <w:rPr>
                <w:rFonts w:ascii="Verdana" w:hAnsi="Verdana" w:cs="Verdana"/>
                <w:sz w:val="18"/>
                <w:szCs w:val="18"/>
                <w:lang w:val="ro-RO"/>
              </w:rPr>
            </w:pPr>
            <w:r>
              <w:rPr>
                <w:rFonts w:ascii="Verdana" w:hAnsi="Verdana" w:cs="Verdana"/>
                <w:sz w:val="18"/>
                <w:szCs w:val="18"/>
                <w:lang w:val="ro-RO"/>
              </w:rPr>
              <w:t>Buchin</w:t>
            </w:r>
          </w:p>
        </w:tc>
        <w:tc>
          <w:tcPr>
            <w:tcW w:w="1890" w:type="dxa"/>
            <w:vAlign w:val="center"/>
          </w:tcPr>
          <w:p>
            <w:pPr>
              <w:spacing w:line="276" w:lineRule="auto"/>
              <w:rPr>
                <w:rFonts w:ascii="Verdana" w:hAnsi="Verdana" w:cs="Verdana"/>
                <w:sz w:val="18"/>
                <w:szCs w:val="18"/>
                <w:lang w:val="ro-RO"/>
              </w:rPr>
            </w:pPr>
            <w:r>
              <w:rPr>
                <w:rFonts w:ascii="Verdana" w:hAnsi="Verdana" w:cs="Verdana"/>
                <w:sz w:val="18"/>
                <w:szCs w:val="18"/>
                <w:lang w:val="ro-RO"/>
              </w:rPr>
              <w:t>Liendenfeld</w:t>
            </w:r>
          </w:p>
        </w:tc>
        <w:tc>
          <w:tcPr>
            <w:tcW w:w="1511" w:type="dxa"/>
            <w:vAlign w:val="center"/>
          </w:tcPr>
          <w:p>
            <w:pPr>
              <w:spacing w:line="276" w:lineRule="auto"/>
              <w:jc w:val="right"/>
              <w:rPr>
                <w:rFonts w:ascii="Verdana" w:hAnsi="Verdana" w:cs="Verdana"/>
                <w:sz w:val="18"/>
                <w:szCs w:val="18"/>
                <w:lang w:val="ro-RO"/>
              </w:rPr>
            </w:pPr>
            <w:r>
              <w:rPr>
                <w:rFonts w:ascii="Verdana" w:hAnsi="Verdana" w:cs="Verdana"/>
                <w:sz w:val="18"/>
                <w:szCs w:val="18"/>
                <w:lang w:val="ro-RO"/>
              </w:rPr>
              <w:t>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w:t>
            </w:r>
          </w:p>
        </w:tc>
        <w:tc>
          <w:tcPr>
            <w:tcW w:w="2466" w:type="dxa"/>
            <w:vAlign w:val="center"/>
          </w:tcPr>
          <w:p>
            <w:pPr>
              <w:spacing w:line="276" w:lineRule="auto"/>
              <w:rPr>
                <w:rFonts w:ascii="Verdana" w:hAnsi="Verdana" w:cs="Verdana"/>
                <w:sz w:val="18"/>
                <w:szCs w:val="18"/>
                <w:lang w:val="ro-RO"/>
              </w:rPr>
            </w:pPr>
            <w:r>
              <w:rPr>
                <w:rFonts w:ascii="Verdana" w:hAnsi="Verdana" w:cs="Verdana"/>
                <w:sz w:val="18"/>
                <w:szCs w:val="18"/>
                <w:lang w:val="ro-RO"/>
              </w:rPr>
              <w:t>Turnu Ruieni</w:t>
            </w:r>
          </w:p>
        </w:tc>
        <w:tc>
          <w:tcPr>
            <w:tcW w:w="1890" w:type="dxa"/>
            <w:vAlign w:val="center"/>
          </w:tcPr>
          <w:p>
            <w:pPr>
              <w:spacing w:line="276" w:lineRule="auto"/>
              <w:rPr>
                <w:rFonts w:ascii="Verdana" w:hAnsi="Verdana" w:cs="Verdana"/>
                <w:sz w:val="18"/>
                <w:szCs w:val="18"/>
                <w:lang w:val="ro-RO"/>
              </w:rPr>
            </w:pPr>
            <w:r>
              <w:rPr>
                <w:rFonts w:ascii="Verdana" w:hAnsi="Verdana" w:cs="Verdana"/>
                <w:sz w:val="18"/>
                <w:szCs w:val="18"/>
                <w:lang w:val="ro-RO"/>
              </w:rPr>
              <w:t>Cicleni</w:t>
            </w:r>
          </w:p>
        </w:tc>
        <w:tc>
          <w:tcPr>
            <w:tcW w:w="1511" w:type="dxa"/>
            <w:vAlign w:val="center"/>
          </w:tcPr>
          <w:p>
            <w:pPr>
              <w:spacing w:line="276" w:lineRule="auto"/>
              <w:jc w:val="right"/>
              <w:rPr>
                <w:rFonts w:ascii="Verdana" w:hAnsi="Verdana" w:cs="Verdana"/>
                <w:sz w:val="18"/>
                <w:szCs w:val="18"/>
                <w:lang w:val="ro-RO"/>
              </w:rPr>
            </w:pPr>
            <w:r>
              <w:rPr>
                <w:rFonts w:ascii="Verdana" w:hAnsi="Verdana" w:cs="Verdana"/>
                <w:sz w:val="18"/>
                <w:szCs w:val="18"/>
                <w:lang w:val="ro-RO"/>
              </w:rPr>
              <w:t>33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w:t>
            </w:r>
          </w:p>
        </w:tc>
        <w:tc>
          <w:tcPr>
            <w:tcW w:w="2466" w:type="dxa"/>
            <w:vAlign w:val="center"/>
          </w:tcPr>
          <w:p>
            <w:pPr>
              <w:spacing w:line="276" w:lineRule="auto"/>
              <w:rPr>
                <w:rFonts w:ascii="Verdana" w:hAnsi="Verdana" w:cs="Verdana"/>
                <w:sz w:val="18"/>
                <w:szCs w:val="18"/>
                <w:lang w:val="ro-RO"/>
              </w:rPr>
            </w:pPr>
            <w:r>
              <w:rPr>
                <w:rFonts w:ascii="Verdana" w:hAnsi="Verdana" w:cs="Verdana"/>
                <w:sz w:val="18"/>
                <w:szCs w:val="18"/>
                <w:lang w:val="ro-RO"/>
              </w:rPr>
              <w:t>Ramna</w:t>
            </w:r>
          </w:p>
        </w:tc>
        <w:tc>
          <w:tcPr>
            <w:tcW w:w="1890" w:type="dxa"/>
            <w:vAlign w:val="center"/>
          </w:tcPr>
          <w:p>
            <w:pPr>
              <w:spacing w:line="276" w:lineRule="auto"/>
              <w:rPr>
                <w:rFonts w:ascii="Verdana" w:hAnsi="Verdana" w:cs="Verdana"/>
                <w:sz w:val="18"/>
                <w:szCs w:val="18"/>
                <w:lang w:val="ro-RO"/>
              </w:rPr>
            </w:pPr>
            <w:r>
              <w:rPr>
                <w:rFonts w:ascii="Verdana" w:hAnsi="Verdana" w:cs="Verdana"/>
                <w:sz w:val="18"/>
                <w:szCs w:val="18"/>
                <w:lang w:val="ro-RO"/>
              </w:rPr>
              <w:t>Barbosu</w:t>
            </w:r>
          </w:p>
        </w:tc>
        <w:tc>
          <w:tcPr>
            <w:tcW w:w="1511" w:type="dxa"/>
            <w:vAlign w:val="center"/>
          </w:tcPr>
          <w:p>
            <w:pPr>
              <w:spacing w:line="276" w:lineRule="auto"/>
              <w:jc w:val="right"/>
              <w:rPr>
                <w:rFonts w:ascii="Verdana" w:hAnsi="Verdana" w:cs="Verdana"/>
                <w:sz w:val="18"/>
                <w:szCs w:val="18"/>
                <w:lang w:val="ro-RO"/>
              </w:rPr>
            </w:pPr>
            <w:r>
              <w:rPr>
                <w:rFonts w:ascii="Verdana" w:hAnsi="Verdana" w:cs="Verdana"/>
                <w:sz w:val="18"/>
                <w:szCs w:val="18"/>
                <w:lang w:val="ro-RO"/>
              </w:rPr>
              <w:t>40</w:t>
            </w:r>
          </w:p>
        </w:tc>
      </w:tr>
      <w:tr>
        <w:trPr>
          <w:jc w:val="center"/>
        </w:trPr>
        <w:tc>
          <w:tcPr>
            <w:tcW w:w="6452" w:type="dxa"/>
            <w:gridSpan w:val="4"/>
            <w:shd w:val="clear" w:color="auto" w:fill="E0E0E0"/>
            <w:vAlign w:val="center"/>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Zona 2 Bozovici</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Bozovici</w:t>
            </w:r>
          </w:p>
        </w:tc>
        <w:tc>
          <w:tcPr>
            <w:tcW w:w="1890" w:type="dxa"/>
          </w:tcPr>
          <w:p>
            <w:pPr>
              <w:spacing w:line="276" w:lineRule="auto"/>
              <w:rPr>
                <w:rFonts w:ascii="Verdana" w:hAnsi="Verdana" w:cs="Verdana"/>
                <w:sz w:val="18"/>
                <w:szCs w:val="18"/>
                <w:lang w:val="ro-RO"/>
              </w:rPr>
            </w:pPr>
            <w:r>
              <w:rPr>
                <w:rFonts w:ascii="Verdana" w:hAnsi="Verdana" w:cs="Verdana"/>
                <w:sz w:val="18"/>
                <w:szCs w:val="18"/>
                <w:lang w:val="ro-RO"/>
              </w:rPr>
              <w:t>Poneasca</w:t>
            </w:r>
          </w:p>
        </w:tc>
        <w:tc>
          <w:tcPr>
            <w:tcW w:w="1511" w:type="dxa"/>
          </w:tcPr>
          <w:p>
            <w:pPr>
              <w:spacing w:line="276" w:lineRule="auto"/>
              <w:jc w:val="right"/>
              <w:rPr>
                <w:rFonts w:ascii="Verdana" w:hAnsi="Verdana" w:cs="Verdana"/>
                <w:sz w:val="18"/>
                <w:szCs w:val="18"/>
                <w:lang w:val="ro-RO"/>
              </w:rPr>
            </w:pPr>
            <w:r>
              <w:rPr>
                <w:rFonts w:ascii="Verdana" w:hAnsi="Verdana" w:cs="Verdana"/>
                <w:sz w:val="18"/>
                <w:szCs w:val="18"/>
                <w:lang w:val="ro-RO"/>
              </w:rPr>
              <w:t>13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Bozovici</w:t>
            </w:r>
          </w:p>
        </w:tc>
        <w:tc>
          <w:tcPr>
            <w:tcW w:w="1890" w:type="dxa"/>
          </w:tcPr>
          <w:p>
            <w:pPr>
              <w:spacing w:line="276" w:lineRule="auto"/>
              <w:rPr>
                <w:rFonts w:ascii="Verdana" w:hAnsi="Verdana" w:cs="Verdana"/>
                <w:sz w:val="18"/>
                <w:szCs w:val="18"/>
                <w:lang w:val="ro-RO"/>
              </w:rPr>
            </w:pPr>
            <w:r>
              <w:rPr>
                <w:rFonts w:ascii="Verdana" w:hAnsi="Verdana" w:cs="Verdana"/>
                <w:sz w:val="18"/>
                <w:szCs w:val="18"/>
                <w:lang w:val="ro-RO"/>
              </w:rPr>
              <w:t>Valea Minisului</w:t>
            </w:r>
          </w:p>
        </w:tc>
        <w:tc>
          <w:tcPr>
            <w:tcW w:w="1511" w:type="dxa"/>
          </w:tcPr>
          <w:p>
            <w:pPr>
              <w:spacing w:line="276" w:lineRule="auto"/>
              <w:jc w:val="right"/>
              <w:rPr>
                <w:rFonts w:ascii="Verdana" w:hAnsi="Verdana" w:cs="Verdana"/>
                <w:sz w:val="18"/>
                <w:szCs w:val="18"/>
                <w:lang w:val="ro-RO"/>
              </w:rPr>
            </w:pPr>
            <w:r>
              <w:rPr>
                <w:rFonts w:ascii="Verdana" w:hAnsi="Verdana" w:cs="Verdana"/>
                <w:sz w:val="18"/>
                <w:szCs w:val="18"/>
                <w:lang w:val="ro-RO"/>
              </w:rPr>
              <w:t>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Lapusnicel</w:t>
            </w:r>
          </w:p>
        </w:tc>
        <w:tc>
          <w:tcPr>
            <w:tcW w:w="1890" w:type="dxa"/>
          </w:tcPr>
          <w:p>
            <w:pPr>
              <w:spacing w:line="276" w:lineRule="auto"/>
              <w:rPr>
                <w:rFonts w:ascii="Verdana" w:hAnsi="Verdana" w:cs="Verdana"/>
                <w:sz w:val="18"/>
                <w:szCs w:val="18"/>
                <w:lang w:val="ro-RO"/>
              </w:rPr>
            </w:pPr>
            <w:r>
              <w:rPr>
                <w:rFonts w:ascii="Verdana" w:hAnsi="Verdana" w:cs="Verdana"/>
                <w:sz w:val="18"/>
                <w:szCs w:val="18"/>
                <w:lang w:val="ro-RO"/>
              </w:rPr>
              <w:t>Sumita</w:t>
            </w:r>
          </w:p>
        </w:tc>
        <w:tc>
          <w:tcPr>
            <w:tcW w:w="1511" w:type="dxa"/>
          </w:tcPr>
          <w:p>
            <w:pPr>
              <w:spacing w:line="276" w:lineRule="auto"/>
              <w:jc w:val="right"/>
              <w:rPr>
                <w:rFonts w:ascii="Verdana" w:hAnsi="Verdana" w:cs="Verdana"/>
                <w:sz w:val="18"/>
                <w:szCs w:val="18"/>
                <w:lang w:val="ro-RO"/>
              </w:rPr>
            </w:pPr>
            <w:r>
              <w:rPr>
                <w:rFonts w:ascii="Verdana" w:hAnsi="Verdana" w:cs="Verdana"/>
                <w:sz w:val="18"/>
                <w:szCs w:val="18"/>
                <w:lang w:val="ro-RO"/>
              </w:rPr>
              <w:t>89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Dalboset</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Birz</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Dalboset</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Boina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Dalboset</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Boinita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Dalboset</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Prislop</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Dalboset</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Resita Mica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Carsa Rosie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67</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Dristie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18</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Poienile Boinei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Ravensca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88</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Urcu</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19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Valea Rachitei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Sopotu Nou</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Valea Rosie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62</w:t>
            </w:r>
          </w:p>
        </w:tc>
      </w:tr>
      <w:tr>
        <w:trPr>
          <w:jc w:val="center"/>
        </w:trPr>
        <w:tc>
          <w:tcPr>
            <w:tcW w:w="6452" w:type="dxa"/>
            <w:gridSpan w:val="4"/>
            <w:shd w:val="clear" w:color="auto" w:fill="E0E0E0"/>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Zona 3 Pojejena</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Berzasca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Cozla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Berzasca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Drencova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Brestelnic</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Camenita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Carsie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Cracu Almaj</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Crusovita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Curmatura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29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Frasinis</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Liborajdea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Lucacevat</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Martinovat</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Ogasu Podului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7</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Streneac</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Valea Orevita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Valea Ravensca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Valea Sichevitei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Zanou</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39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Sichevita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Zasloane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Socol</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Bazias</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Socol</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Parneaura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67</w:t>
            </w:r>
          </w:p>
        </w:tc>
      </w:tr>
      <w:tr>
        <w:trPr>
          <w:jc w:val="center"/>
        </w:trPr>
        <w:tc>
          <w:tcPr>
            <w:tcW w:w="6452" w:type="dxa"/>
            <w:gridSpan w:val="4"/>
            <w:shd w:val="clear" w:color="auto" w:fill="E0E0E0"/>
            <w:vAlign w:val="center"/>
          </w:tcPr>
          <w:p>
            <w:pPr>
              <w:spacing w:line="276" w:lineRule="auto"/>
              <w:jc w:val="center"/>
              <w:rPr>
                <w:rFonts w:ascii="Verdana" w:hAnsi="Verdana" w:cs="Verdana"/>
                <w:b/>
                <w:bCs/>
                <w:sz w:val="18"/>
                <w:szCs w:val="18"/>
                <w:lang w:val="ro-RO"/>
              </w:rPr>
            </w:pPr>
            <w:r>
              <w:rPr>
                <w:rFonts w:ascii="Verdana" w:hAnsi="Verdana" w:cs="Verdana"/>
                <w:b/>
                <w:bCs/>
                <w:sz w:val="18"/>
                <w:szCs w:val="18"/>
                <w:lang w:val="ro-RO"/>
              </w:rPr>
              <w:lastRenderedPageBreak/>
              <w:t>Zona 4 Oravița</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Berliste</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Rusova Noua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Berliste</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Rusova Veche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Forotic</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Brezon</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96</w:t>
            </w:r>
          </w:p>
        </w:tc>
      </w:tr>
      <w:tr>
        <w:trPr>
          <w:jc w:val="center"/>
        </w:trPr>
        <w:tc>
          <w:tcPr>
            <w:tcW w:w="6452" w:type="dxa"/>
            <w:gridSpan w:val="4"/>
            <w:shd w:val="clear" w:color="auto" w:fill="E0E0E0"/>
            <w:vAlign w:val="center"/>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Zona 5 Băile Herculane</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Macoviste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66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Arsuri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Borugi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32</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Ciresel</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49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Costis</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Cracu Mare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Cracu Teiului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Dobraia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23</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Dolina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Gruni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Hora Mare</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Hora Mica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Inelet</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Izvor</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87</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59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Lunca Florii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Lunca Zaicii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82</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Mesteacan</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Negiudin</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Obita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Pogara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Poiana Lunga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57</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Prisacina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Prislop</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86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68</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Rustin</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90</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69</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Scarisoara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19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70</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Strugasca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45</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71</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Studena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56</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72</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Sub Cring</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29</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73</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Sub Plai</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94</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74</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Tatu</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31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75</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Cornereva</w:t>
            </w:r>
          </w:p>
        </w:tc>
        <w:tc>
          <w:tcPr>
            <w:tcW w:w="1890" w:type="dxa"/>
            <w:vAlign w:val="bottom"/>
          </w:tcPr>
          <w:p>
            <w:pPr>
              <w:spacing w:line="276" w:lineRule="auto"/>
              <w:rPr>
                <w:rFonts w:ascii="Verdana" w:hAnsi="Verdana" w:cs="Verdana"/>
                <w:sz w:val="18"/>
                <w:szCs w:val="18"/>
                <w:lang w:val="ro-RO"/>
              </w:rPr>
            </w:pPr>
            <w:r>
              <w:rPr>
                <w:rFonts w:ascii="Verdana" w:hAnsi="Verdana" w:cs="Verdana"/>
                <w:sz w:val="18"/>
                <w:szCs w:val="18"/>
                <w:lang w:val="ro-RO"/>
              </w:rPr>
              <w:t>Zoina</w:t>
            </w:r>
          </w:p>
        </w:tc>
        <w:tc>
          <w:tcPr>
            <w:tcW w:w="1511" w:type="dxa"/>
            <w:vAlign w:val="bottom"/>
          </w:tcPr>
          <w:p>
            <w:pPr>
              <w:spacing w:line="276" w:lineRule="auto"/>
              <w:jc w:val="right"/>
              <w:rPr>
                <w:rFonts w:ascii="Verdana" w:hAnsi="Verdana" w:cs="Verdana"/>
                <w:sz w:val="18"/>
                <w:szCs w:val="18"/>
                <w:lang w:val="ro-RO"/>
              </w:rPr>
            </w:pPr>
            <w:r>
              <w:rPr>
                <w:rFonts w:ascii="Verdana" w:hAnsi="Verdana" w:cs="Verdana"/>
                <w:sz w:val="18"/>
                <w:szCs w:val="18"/>
                <w:lang w:val="ro-RO"/>
              </w:rPr>
              <w:t>59</w:t>
            </w:r>
          </w:p>
        </w:tc>
      </w:tr>
      <w:tr>
        <w:trPr>
          <w:jc w:val="center"/>
        </w:trPr>
        <w:tc>
          <w:tcPr>
            <w:tcW w:w="6452" w:type="dxa"/>
            <w:gridSpan w:val="4"/>
            <w:shd w:val="clear" w:color="auto" w:fill="E0E0E0"/>
            <w:vAlign w:val="center"/>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Zona 6 Oțelu Roșu</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76</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Bautar</w:t>
            </w:r>
          </w:p>
        </w:tc>
        <w:tc>
          <w:tcPr>
            <w:tcW w:w="1890" w:type="dxa"/>
            <w:vAlign w:val="bottom"/>
          </w:tcPr>
          <w:p>
            <w:pPr>
              <w:rPr>
                <w:rFonts w:ascii="Verdana" w:hAnsi="Verdana" w:cs="Verdana"/>
                <w:sz w:val="18"/>
                <w:szCs w:val="18"/>
                <w:lang w:val="ro-RO"/>
              </w:rPr>
            </w:pPr>
            <w:r>
              <w:rPr>
                <w:rFonts w:ascii="Verdana" w:hAnsi="Verdana" w:cs="Verdana"/>
                <w:sz w:val="18"/>
                <w:szCs w:val="18"/>
                <w:lang w:val="ro-RO"/>
              </w:rPr>
              <w:t>Preveciori</w:t>
            </w:r>
          </w:p>
        </w:tc>
        <w:tc>
          <w:tcPr>
            <w:tcW w:w="1511" w:type="dxa"/>
            <w:vAlign w:val="bottom"/>
          </w:tcPr>
          <w:p>
            <w:pPr>
              <w:jc w:val="right"/>
              <w:rPr>
                <w:rFonts w:ascii="Verdana" w:hAnsi="Verdana" w:cs="Verdana"/>
                <w:sz w:val="18"/>
                <w:szCs w:val="18"/>
                <w:lang w:val="ro-RO"/>
              </w:rPr>
            </w:pPr>
            <w:r>
              <w:rPr>
                <w:rFonts w:ascii="Verdana" w:hAnsi="Verdana" w:cs="Verdana"/>
                <w:sz w:val="18"/>
                <w:szCs w:val="18"/>
                <w:lang w:val="ro-RO"/>
              </w:rPr>
              <w:t>1</w:t>
            </w:r>
          </w:p>
        </w:tc>
      </w:tr>
      <w:tr>
        <w:trPr>
          <w:jc w:val="center"/>
        </w:trPr>
        <w:tc>
          <w:tcPr>
            <w:tcW w:w="585" w:type="dxa"/>
          </w:tcPr>
          <w:p>
            <w:pPr>
              <w:spacing w:line="276" w:lineRule="auto"/>
              <w:jc w:val="center"/>
              <w:rPr>
                <w:rFonts w:ascii="Verdana" w:hAnsi="Verdana" w:cs="Verdana"/>
                <w:sz w:val="18"/>
                <w:szCs w:val="18"/>
                <w:lang w:val="ro-RO"/>
              </w:rPr>
            </w:pPr>
            <w:r>
              <w:rPr>
                <w:rFonts w:ascii="Verdana" w:hAnsi="Verdana" w:cs="Verdana"/>
                <w:sz w:val="18"/>
                <w:szCs w:val="18"/>
                <w:lang w:val="ro-RO"/>
              </w:rPr>
              <w:t>77</w:t>
            </w:r>
          </w:p>
        </w:tc>
        <w:tc>
          <w:tcPr>
            <w:tcW w:w="2466" w:type="dxa"/>
          </w:tcPr>
          <w:p>
            <w:pPr>
              <w:spacing w:line="276" w:lineRule="auto"/>
              <w:rPr>
                <w:rFonts w:ascii="Verdana" w:hAnsi="Verdana" w:cs="Verdana"/>
                <w:sz w:val="18"/>
                <w:szCs w:val="18"/>
                <w:lang w:val="ro-RO"/>
              </w:rPr>
            </w:pPr>
            <w:r>
              <w:rPr>
                <w:rFonts w:ascii="Verdana" w:hAnsi="Verdana" w:cs="Verdana"/>
                <w:sz w:val="18"/>
                <w:szCs w:val="18"/>
                <w:lang w:val="ro-RO"/>
              </w:rPr>
              <w:t>Marga</w:t>
            </w:r>
          </w:p>
        </w:tc>
        <w:tc>
          <w:tcPr>
            <w:tcW w:w="1890" w:type="dxa"/>
            <w:vAlign w:val="bottom"/>
          </w:tcPr>
          <w:p>
            <w:pPr>
              <w:rPr>
                <w:rFonts w:ascii="Verdana" w:hAnsi="Verdana" w:cs="Verdana"/>
                <w:sz w:val="18"/>
                <w:szCs w:val="18"/>
                <w:lang w:val="ro-RO"/>
              </w:rPr>
            </w:pPr>
            <w:r>
              <w:rPr>
                <w:rFonts w:ascii="Verdana" w:hAnsi="Verdana" w:cs="Verdana"/>
                <w:sz w:val="18"/>
                <w:szCs w:val="18"/>
                <w:lang w:val="ro-RO"/>
              </w:rPr>
              <w:t>Vama Marga</w:t>
            </w:r>
          </w:p>
        </w:tc>
        <w:tc>
          <w:tcPr>
            <w:tcW w:w="1511" w:type="dxa"/>
            <w:vAlign w:val="bottom"/>
          </w:tcPr>
          <w:p>
            <w:pPr>
              <w:jc w:val="right"/>
              <w:rPr>
                <w:rFonts w:ascii="Verdana" w:hAnsi="Verdana" w:cs="Verdana"/>
                <w:sz w:val="18"/>
                <w:szCs w:val="18"/>
                <w:lang w:val="ro-RO"/>
              </w:rPr>
            </w:pPr>
            <w:r>
              <w:rPr>
                <w:rFonts w:ascii="Verdana" w:hAnsi="Verdana" w:cs="Verdana"/>
                <w:sz w:val="18"/>
                <w:szCs w:val="18"/>
                <w:lang w:val="ro-RO"/>
              </w:rPr>
              <w:t>79</w:t>
            </w:r>
          </w:p>
        </w:tc>
      </w:tr>
    </w:tbl>
    <w:p>
      <w:pPr>
        <w:spacing w:after="120" w:line="288" w:lineRule="auto"/>
        <w:jc w:val="center"/>
        <w:rPr>
          <w:rFonts w:ascii="Verdana" w:hAnsi="Verdana" w:cs="Verdana"/>
          <w:b/>
          <w:bCs/>
          <w:sz w:val="18"/>
          <w:szCs w:val="18"/>
          <w:lang w:val="ro-RO"/>
        </w:rPr>
      </w:pPr>
    </w:p>
    <w:p>
      <w:pPr>
        <w:spacing w:after="120" w:line="288" w:lineRule="auto"/>
        <w:jc w:val="center"/>
        <w:rPr>
          <w:rFonts w:ascii="Verdana" w:hAnsi="Verdana" w:cs="Verdana"/>
          <w:b/>
          <w:bCs/>
          <w:sz w:val="18"/>
          <w:szCs w:val="18"/>
          <w:lang w:val="ro-RO"/>
        </w:rPr>
      </w:pPr>
    </w:p>
    <w:p>
      <w:pPr>
        <w:spacing w:after="120" w:line="288" w:lineRule="auto"/>
        <w:jc w:val="center"/>
        <w:rPr>
          <w:rFonts w:ascii="Verdana" w:hAnsi="Verdana" w:cs="Verdana"/>
          <w:b/>
          <w:bCs/>
          <w:sz w:val="18"/>
          <w:szCs w:val="18"/>
          <w:lang w:val="ro-RO"/>
        </w:rPr>
      </w:pPr>
    </w:p>
    <w:p>
      <w:pPr>
        <w:spacing w:after="120" w:line="288" w:lineRule="auto"/>
        <w:jc w:val="center"/>
        <w:rPr>
          <w:rFonts w:ascii="Verdana" w:hAnsi="Verdana" w:cs="Verdana"/>
          <w:b/>
          <w:bCs/>
          <w:sz w:val="18"/>
          <w:szCs w:val="18"/>
          <w:lang w:val="ro-RO"/>
        </w:rPr>
        <w:sectPr>
          <w:pgSz w:w="11909" w:h="16834" w:code="9"/>
          <w:pgMar w:top="864" w:right="864" w:bottom="864" w:left="864" w:header="706" w:footer="706" w:gutter="0"/>
          <w:cols w:space="708"/>
          <w:docGrid w:linePitch="360"/>
        </w:sectPr>
      </w:pPr>
    </w:p>
    <w:p>
      <w:pPr>
        <w:pStyle w:val="StyleHeading1Verdana14ptCenteredBefore0ptAfter"/>
        <w:rPr>
          <w:lang w:val="ro-RO"/>
        </w:rPr>
      </w:pPr>
      <w:bookmarkStart w:id="84" w:name="_Toc41469128"/>
      <w:r>
        <w:rPr>
          <w:lang w:val="ro-RO"/>
        </w:rPr>
        <w:lastRenderedPageBreak/>
        <w:t>ANEXA 4</w:t>
      </w:r>
      <w:r>
        <w:rPr>
          <w:lang w:val="ro-RO"/>
        </w:rPr>
        <w:tab/>
        <w:t>ZONE CU ACCES DIFICIL DIN MEDIUL RURAL ȘI DIN MEDIUL URBAN (ZONA DE CASE) ÎN CARE COLECTAREA DEȘEURILOR REZIDUALE SE REALIZEAZĂ ÎN PUNCTE DE COLECTARE</w:t>
      </w:r>
      <w:bookmarkEnd w:id="84"/>
    </w:p>
    <w:p>
      <w:pPr>
        <w:spacing w:after="120" w:line="288" w:lineRule="auto"/>
        <w:jc w:val="center"/>
        <w:rPr>
          <w:rFonts w:ascii="Verdana" w:hAnsi="Verdana" w:cs="Verdana"/>
          <w:b/>
          <w:bCs/>
          <w:sz w:val="18"/>
          <w:szCs w:val="18"/>
          <w:lang w:val="ro-RO"/>
        </w:rPr>
      </w:pPr>
    </w:p>
    <w:tbl>
      <w:tblPr>
        <w:tblW w:w="9377" w:type="dxa"/>
        <w:jc w:val="center"/>
        <w:tblLook w:val="0000" w:firstRow="0" w:lastRow="0" w:firstColumn="0" w:lastColumn="0" w:noHBand="0" w:noVBand="0"/>
      </w:tblPr>
      <w:tblGrid>
        <w:gridCol w:w="740"/>
        <w:gridCol w:w="2359"/>
        <w:gridCol w:w="2138"/>
        <w:gridCol w:w="1933"/>
        <w:gridCol w:w="2207"/>
      </w:tblGrid>
      <w:tr>
        <w:trPr>
          <w:trHeight w:val="1078"/>
          <w:tblHeader/>
          <w:jc w:val="center"/>
        </w:trPr>
        <w:tc>
          <w:tcPr>
            <w:tcW w:w="740" w:type="dxa"/>
            <w:tcBorders>
              <w:top w:val="single" w:sz="8" w:space="0" w:color="auto"/>
              <w:left w:val="single" w:sz="8" w:space="0" w:color="auto"/>
              <w:bottom w:val="single" w:sz="4" w:space="0" w:color="auto"/>
              <w:right w:val="single" w:sz="4" w:space="0" w:color="auto"/>
            </w:tcBorders>
            <w:shd w:val="clear" w:color="auto" w:fill="99CCFF"/>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xml:space="preserve">Nr. </w:t>
            </w:r>
            <w:r>
              <w:rPr>
                <w:rFonts w:ascii="Verdana" w:hAnsi="Verdana" w:cs="Verdana"/>
                <w:b/>
                <w:bCs/>
                <w:color w:val="000000"/>
                <w:sz w:val="18"/>
                <w:szCs w:val="18"/>
                <w:lang w:val="ro-RO"/>
              </w:rPr>
              <w:br/>
              <w:t>crt.</w:t>
            </w:r>
          </w:p>
        </w:tc>
        <w:tc>
          <w:tcPr>
            <w:tcW w:w="2359" w:type="dxa"/>
            <w:tcBorders>
              <w:top w:val="single" w:sz="8" w:space="0" w:color="auto"/>
              <w:left w:val="nil"/>
              <w:bottom w:val="single" w:sz="4" w:space="0" w:color="auto"/>
              <w:right w:val="single" w:sz="4" w:space="0" w:color="auto"/>
            </w:tcBorders>
            <w:shd w:val="clear" w:color="auto" w:fill="99CCFF"/>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Zona greu accesibilă - adresa sau date de identificare</w:t>
            </w:r>
          </w:p>
        </w:tc>
        <w:tc>
          <w:tcPr>
            <w:tcW w:w="2138" w:type="dxa"/>
            <w:tcBorders>
              <w:top w:val="single" w:sz="8" w:space="0" w:color="auto"/>
              <w:left w:val="nil"/>
              <w:bottom w:val="single" w:sz="4" w:space="0" w:color="auto"/>
              <w:right w:val="single" w:sz="4" w:space="0" w:color="auto"/>
            </w:tcBorders>
            <w:shd w:val="clear" w:color="auto" w:fill="99CCFF"/>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Cartierul/ satul de care aparține</w:t>
            </w:r>
          </w:p>
        </w:tc>
        <w:tc>
          <w:tcPr>
            <w:tcW w:w="1933" w:type="dxa"/>
            <w:tcBorders>
              <w:top w:val="single" w:sz="8" w:space="0" w:color="auto"/>
              <w:left w:val="nil"/>
              <w:bottom w:val="single" w:sz="4" w:space="0" w:color="auto"/>
              <w:right w:val="single" w:sz="4" w:space="0" w:color="auto"/>
            </w:tcBorders>
            <w:shd w:val="clear" w:color="auto" w:fill="99CCFF"/>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Numărul de gospodării cu acces dificil</w:t>
            </w:r>
          </w:p>
        </w:tc>
        <w:tc>
          <w:tcPr>
            <w:tcW w:w="2207" w:type="dxa"/>
            <w:tcBorders>
              <w:top w:val="single" w:sz="8" w:space="0" w:color="auto"/>
              <w:left w:val="nil"/>
              <w:bottom w:val="single" w:sz="4" w:space="0" w:color="auto"/>
              <w:right w:val="single" w:sz="4" w:space="0" w:color="auto"/>
            </w:tcBorders>
            <w:shd w:val="clear" w:color="auto" w:fill="99CCFF"/>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Numărul total de locuitori din gospodăriile cu acces dificil</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Anina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633</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1578</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Putul V</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Dealul Schmarantzer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Dealul Rahner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Vulturilor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65</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Dealul Hruza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Cuza Voda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Stefan cel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69</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Tudor Vladimirescu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Vanatorilor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Bucuriei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Aurora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Calea Traian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Steierdorf</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Semenic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Traverselor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Clopotelor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Cris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Negoiu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Fagaras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Izvorului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Soarelui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Izvarna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Maial</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Carpati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Sigismund</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41"/>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Colonia Crivina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Crivina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5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Bradet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Bradet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327</w:t>
            </w:r>
          </w:p>
        </w:tc>
      </w:tr>
      <w:tr>
        <w:trPr>
          <w:trHeight w:val="341"/>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Tereziei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Anina 1</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Bufenilor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Anina 1</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Bucegi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Anina 1</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96</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Salcamilor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Anina 1</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Padurii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Anina 1</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Cheile Garlistei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123</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13.dec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61</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Cerna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1.35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Vasile Alecsandri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Colonia Rosie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242"/>
          <w:jc w:val="center"/>
        </w:trPr>
        <w:tc>
          <w:tcPr>
            <w:tcW w:w="740" w:type="dxa"/>
            <w:tcBorders>
              <w:top w:val="nil"/>
              <w:left w:val="single" w:sz="8"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Garlistei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Bocșa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75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4497" w:type="dxa"/>
            <w:gridSpan w:val="2"/>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Padurii, Viitorului, Ogasului, Fagetului, Branistei, Dealului, George Cosbuc, Castanilor, Lernitei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1425</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Moldova Nouă</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Moldovita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308</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Oravița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xml:space="preserve">Str. Valea Aurului </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Dimitrie Cantemir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Mircea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287"/>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Traian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w:t>
            </w:r>
          </w:p>
        </w:tc>
      </w:tr>
      <w:tr>
        <w:trPr>
          <w:trHeight w:val="278"/>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Izlazului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115</w:t>
            </w:r>
          </w:p>
        </w:tc>
      </w:tr>
      <w:tr>
        <w:trPr>
          <w:trHeight w:val="359"/>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Valea Minerilor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105</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George Cosbuc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79</w:t>
            </w:r>
          </w:p>
        </w:tc>
      </w:tr>
      <w:tr>
        <w:trPr>
          <w:trHeight w:val="197"/>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Prieteniei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Oituz</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Stefan cel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Rindunicii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Ghioceilor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Trandafirilor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Viorelelor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FF0000"/>
                <w:sz w:val="18"/>
                <w:szCs w:val="18"/>
                <w:lang w:val="ro-RO"/>
              </w:rPr>
            </w:pPr>
            <w:r>
              <w:rPr>
                <w:rFonts w:ascii="Verdana" w:hAnsi="Verdana" w:cs="Verdana"/>
                <w:color w:val="FF0000"/>
                <w:sz w:val="18"/>
                <w:szCs w:val="18"/>
                <w:lang w:val="ro-RO"/>
              </w:rPr>
              <w:t>75</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5</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Reșița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Manastirii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Sperantei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Ion vidu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Triaj,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Iosif Velceanu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Triaj,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Motart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Triaj,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Verdi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Triaj,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Ciprian Porumbescu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Triaj,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Grigore Alexandrescu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Barbu Lautaru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Frunzei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5.11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Bujorilor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Begoniilor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Nalbelor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Viorelelor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Zambilelor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Prunilor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Bucegi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Moroasa,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Sandor Petofi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Caraiman</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Cascadelor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George Cosbuc</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Murelor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Pandurilor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Mihai Eminescu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Ion Creanga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Rosiorilor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Salcamilor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Fragilor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Dobrogeanu Gherea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Afinilor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5.32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Mihail Sadoveanu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Marasesti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Muzicescu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Crisan</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Domanului,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Poiana Golului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87</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Golului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 Mare</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Vulturilor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Banaduc</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Turturelelor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Alunilor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28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Mierlei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Nikolaus Lenau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Vintului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Simion Mangiuca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w:t>
            </w:r>
          </w:p>
        </w:tc>
      </w:tr>
      <w:tr>
        <w:trPr>
          <w:trHeight w:val="37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Badea Cirtan</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9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Virfului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9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Rindul 1</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Rindul 4</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37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Rindul 2</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Dorna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39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Rindul 3</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102</w:t>
            </w:r>
          </w:p>
        </w:tc>
      </w:tr>
      <w:tr>
        <w:trPr>
          <w:trHeight w:val="39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Ceretului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Siret</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Avram Iancu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5.57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Alexandru Vlahuta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Vinatorilor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5.59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Semenic</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67</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Ciocirliei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7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Nicolae Grigorescu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Izvorului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Cozia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Carpati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60</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Treptelor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Tiglariei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Cerbului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Delavrancea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Parcului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39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Canalului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Nedeea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Vlad Tepes</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Beethoven</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Fagului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Muzicescu 2</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1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Stincilor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Gozna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Rindunica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5.79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Teilor 1</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w:t>
            </w:r>
          </w:p>
        </w:tc>
      </w:tr>
      <w:tr>
        <w:trPr>
          <w:trHeight w:val="3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Teilor 2</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Mihail Kogalniceanu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110</w:t>
            </w:r>
          </w:p>
        </w:tc>
      </w:tr>
      <w:tr>
        <w:trPr>
          <w:trHeight w:val="34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Bradet</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r>
      <w:tr>
        <w:trPr>
          <w:trHeight w:val="435"/>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5.83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Driglovat</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Orasul Vechi,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Nera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Islazului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Comarnic</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Toplita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Aurel Vlaicu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Soarelui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Birzavei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Prislop</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Colinei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Carasovei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Digului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Stavila,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57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Calugareni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54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Razboieni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Sodol</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Paralela Valiugului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5.99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Ghiocelului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Vasile Pirvan</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Zorilor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Basovat</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Ponor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Visinului</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Marginea, Minda, Lend, Resita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Secu</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Secu, Secu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160</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Cuptoare</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Cuptoare, Cuptoare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141</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Doman Carolina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Doman, Doman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Doman Slamina</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Doman, Doman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5.109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Salciilor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Terova, Terova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5.110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Arinilor</w:t>
            </w:r>
          </w:p>
        </w:tc>
        <w:tc>
          <w:tcPr>
            <w:tcW w:w="2138"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Terova, Terova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6</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Armenis</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nr 11 cu numerele de la 421-465, 333-355</w:t>
            </w:r>
            <w:r>
              <w:rPr>
                <w:rFonts w:ascii="Verdana" w:hAnsi="Verdana" w:cs="Verdana"/>
                <w:color w:val="000000"/>
                <w:sz w:val="18"/>
                <w:szCs w:val="18"/>
                <w:lang w:val="ro-RO"/>
              </w:rPr>
              <w:br/>
              <w:t>Str. nr 6 cu numerele 191-201</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Armenis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228</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nr 4 cu numerele 83-95,</w:t>
            </w:r>
            <w:r>
              <w:rPr>
                <w:rFonts w:ascii="Verdana" w:hAnsi="Verdana" w:cs="Verdana"/>
                <w:color w:val="000000"/>
                <w:sz w:val="18"/>
                <w:szCs w:val="18"/>
                <w:lang w:val="ro-RO"/>
              </w:rPr>
              <w:br/>
              <w:t>str. Nr 5 cu numerele 156-164</w:t>
            </w:r>
            <w:r>
              <w:rPr>
                <w:rFonts w:ascii="Verdana" w:hAnsi="Verdana" w:cs="Verdana"/>
                <w:color w:val="000000"/>
                <w:sz w:val="18"/>
                <w:szCs w:val="18"/>
                <w:lang w:val="ro-RO"/>
              </w:rPr>
              <w:br/>
              <w:t>str. Nr 6 cu numerele 148-162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Fenes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102</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1 cu numerele 1-8,</w:t>
            </w:r>
            <w:r>
              <w:rPr>
                <w:rFonts w:ascii="Verdana" w:hAnsi="Verdana" w:cs="Verdana"/>
                <w:color w:val="000000"/>
                <w:sz w:val="18"/>
                <w:szCs w:val="18"/>
                <w:lang w:val="ro-RO"/>
              </w:rPr>
              <w:br/>
              <w:t>zona 2 cu numerele 12-32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Submarginea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84</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1 cu numerele 135-147,</w:t>
            </w:r>
            <w:r>
              <w:rPr>
                <w:rFonts w:ascii="Verdana" w:hAnsi="Verdana" w:cs="Verdana"/>
                <w:color w:val="000000"/>
                <w:sz w:val="18"/>
                <w:szCs w:val="18"/>
                <w:lang w:val="ro-RO"/>
              </w:rPr>
              <w:br/>
              <w:t>Zona 2 cu numerele 23-40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 Batran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84</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1 drum forestier cu L=8 km</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Plopu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7</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Berzasca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DC 47 Cozla-Bigar, 18 km lungime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Bigar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Tiganie - Goicovici nr 412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Berzasca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45 - nr 58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Liubcova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66 - nr 77</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Liubcova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195 - nr 206</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Liubcova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8</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Doclin</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Rom</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Doclin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Vestica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Doclin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Nordica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Tirol</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Estica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Binis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9</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Ciclova Română</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Neter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Ciclova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Obreja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Ilidia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Sub Dos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Ilidia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Jurita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Socolari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Pe Vale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Socolari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Dealul Bisericii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Ciclova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Gisinii Lene Stana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Ciclova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10</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Constantin Daicoviciu</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10.1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Loc în apropierea Bisericii Ortodoxe care face legatura cu strada Principala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Pestere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 iesirea din satul Pestereinsprepadurea comunala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Pestere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5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Pe locul numit Troian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Mitnicu Mare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apropierea scolii din localitate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Maciova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11</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Cornereva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2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Hora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Hora Mare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Hora Mica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Hora Mica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Bojia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Bojia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73</w:t>
            </w:r>
          </w:p>
        </w:tc>
      </w:tr>
      <w:tr>
        <w:trPr>
          <w:trHeight w:val="359"/>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Rustin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Rustin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Zbeg</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Zbeg</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72</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Ciresel</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Ciresel</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Cornereva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Cornereva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539"/>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Pogara de Sus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Pogara de Sus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Prislop</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Prislop</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Majoritatea satul Cozia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Cozia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110</w:t>
            </w:r>
          </w:p>
        </w:tc>
      </w:tr>
      <w:tr>
        <w:trPr>
          <w:trHeight w:val="359"/>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Satul Strugasca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Strugasca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Topla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Majoritatea satul Zoina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Zoina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35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Satul sub Cring</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Sub Cring</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359"/>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Satul Studena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Studena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w:t>
            </w:r>
          </w:p>
        </w:tc>
      </w:tr>
      <w:tr>
        <w:trPr>
          <w:trHeight w:val="53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Majoritatea satul Sub Plai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Sub Plai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74</w:t>
            </w:r>
          </w:p>
        </w:tc>
      </w:tr>
      <w:tr>
        <w:trPr>
          <w:trHeight w:val="341"/>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Zmogotin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Zmogotin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Partial satul Negiudin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Negiudin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11.19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Satul Borugi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Borugi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11.20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Satul Mesteacan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Mesteacan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23"/>
          <w:jc w:val="center"/>
        </w:trPr>
        <w:tc>
          <w:tcPr>
            <w:tcW w:w="740" w:type="dxa"/>
            <w:vMerge w:val="restart"/>
            <w:tcBorders>
              <w:top w:val="single" w:sz="4" w:space="0" w:color="auto"/>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11.21</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 </w:t>
            </w:r>
          </w:p>
        </w:tc>
        <w:tc>
          <w:tcPr>
            <w:tcW w:w="2359" w:type="dxa"/>
            <w:vMerge w:val="restart"/>
            <w:tcBorders>
              <w:top w:val="single" w:sz="4" w:space="0" w:color="auto"/>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Satul Pogara</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 </w:t>
            </w:r>
          </w:p>
        </w:tc>
        <w:tc>
          <w:tcPr>
            <w:tcW w:w="2138"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Pogara de Sus</w:t>
            </w:r>
          </w:p>
        </w:tc>
        <w:tc>
          <w:tcPr>
            <w:tcW w:w="1933"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w:t>
            </w:r>
          </w:p>
        </w:tc>
      </w:tr>
      <w:tr>
        <w:trPr>
          <w:trHeight w:val="300"/>
          <w:jc w:val="center"/>
        </w:trPr>
        <w:tc>
          <w:tcPr>
            <w:tcW w:w="740" w:type="dxa"/>
            <w:vMerge/>
            <w:tcBorders>
              <w:top w:val="single" w:sz="4" w:space="0" w:color="auto"/>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top w:val="single" w:sz="4" w:space="0" w:color="auto"/>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Poiana Lunga</w:t>
            </w:r>
          </w:p>
        </w:tc>
        <w:tc>
          <w:tcPr>
            <w:tcW w:w="1933" w:type="dxa"/>
            <w:vMerge w:val="restart"/>
            <w:tcBorders>
              <w:top w:val="single" w:sz="4" w:space="0" w:color="auto"/>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93</w:t>
            </w:r>
          </w:p>
        </w:tc>
        <w:tc>
          <w:tcPr>
            <w:tcW w:w="2207" w:type="dxa"/>
            <w:vMerge w:val="restart"/>
            <w:tcBorders>
              <w:top w:val="single" w:sz="4" w:space="0" w:color="auto"/>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235</w:t>
            </w:r>
          </w:p>
        </w:tc>
      </w:tr>
      <w:tr>
        <w:trPr>
          <w:trHeight w:val="300"/>
          <w:jc w:val="center"/>
        </w:trPr>
        <w:tc>
          <w:tcPr>
            <w:tcW w:w="740" w:type="dxa"/>
            <w:vMerge/>
            <w:tcBorders>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Dobraia</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vMerge/>
            <w:tcBorders>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Prisacina</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vMerge/>
            <w:tcBorders>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Cracul Teiului</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vMerge/>
            <w:tcBorders>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Cracul Mare</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vMerge/>
            <w:tcBorders>
              <w:left w:val="single" w:sz="8"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Inelet</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vMerge/>
            <w:tcBorders>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359" w:type="dxa"/>
            <w:vMerge/>
            <w:tcBorders>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Scarisoara și Tatu</w:t>
            </w:r>
          </w:p>
        </w:tc>
        <w:tc>
          <w:tcPr>
            <w:tcW w:w="1933"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12</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Dognecea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Petru Pau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Rusalii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Krischer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Betoane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Cimitir Catolic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Viriti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Cimitir Ortodox</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Dognecea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13</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Eftimie Murgu</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6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18-104</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154-175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270-276</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303-308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309-330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330-345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370-384</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 la nr 420-453</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Eftimie Murgu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74</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14</w:t>
            </w:r>
          </w:p>
        </w:tc>
        <w:tc>
          <w:tcPr>
            <w:tcW w:w="2359" w:type="dxa"/>
            <w:tcBorders>
              <w:top w:val="nil"/>
              <w:left w:val="nil"/>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Firliug</w:t>
            </w:r>
          </w:p>
        </w:tc>
        <w:tc>
          <w:tcPr>
            <w:tcW w:w="2138" w:type="dxa"/>
            <w:tcBorders>
              <w:top w:val="nil"/>
              <w:left w:val="nil"/>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 zone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Dezesti</w:t>
            </w:r>
          </w:p>
        </w:tc>
        <w:tc>
          <w:tcPr>
            <w:tcW w:w="1933"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1 -6</w:t>
            </w:r>
            <w:r>
              <w:rPr>
                <w:rFonts w:ascii="Verdana" w:hAnsi="Verdana" w:cs="Verdana"/>
                <w:color w:val="000000"/>
                <w:sz w:val="18"/>
                <w:szCs w:val="18"/>
                <w:lang w:val="ro-RO"/>
              </w:rPr>
              <w:br/>
              <w:t>Zona 2 - 10</w:t>
            </w:r>
          </w:p>
        </w:tc>
        <w:tc>
          <w:tcPr>
            <w:tcW w:w="2207"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r>
              <w:rPr>
                <w:rFonts w:ascii="Verdana" w:hAnsi="Verdana" w:cs="Verdana"/>
                <w:color w:val="000000"/>
                <w:sz w:val="18"/>
                <w:szCs w:val="18"/>
                <w:lang w:val="ro-RO"/>
              </w:rPr>
              <w:br/>
              <w:t>23</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 zone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Duleu</w:t>
            </w:r>
          </w:p>
        </w:tc>
        <w:tc>
          <w:tcPr>
            <w:tcW w:w="1933"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Z1 - 10</w:t>
            </w:r>
            <w:r>
              <w:rPr>
                <w:rFonts w:ascii="Verdana" w:hAnsi="Verdana" w:cs="Verdana"/>
                <w:color w:val="000000"/>
                <w:sz w:val="18"/>
                <w:szCs w:val="18"/>
                <w:lang w:val="ro-RO"/>
              </w:rPr>
              <w:br/>
              <w:t>Z2 - 10</w:t>
            </w:r>
            <w:r>
              <w:rPr>
                <w:rFonts w:ascii="Verdana" w:hAnsi="Verdana" w:cs="Verdana"/>
                <w:color w:val="000000"/>
                <w:sz w:val="18"/>
                <w:szCs w:val="18"/>
                <w:lang w:val="ro-RO"/>
              </w:rPr>
              <w:br/>
              <w:t>Z3 - 25</w:t>
            </w:r>
          </w:p>
        </w:tc>
        <w:tc>
          <w:tcPr>
            <w:tcW w:w="2207"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r>
              <w:rPr>
                <w:rFonts w:ascii="Verdana" w:hAnsi="Verdana" w:cs="Verdana"/>
                <w:color w:val="000000"/>
                <w:sz w:val="18"/>
                <w:szCs w:val="18"/>
                <w:lang w:val="ro-RO"/>
              </w:rPr>
              <w:br/>
              <w:t>24</w:t>
            </w:r>
            <w:r>
              <w:rPr>
                <w:rFonts w:ascii="Verdana" w:hAnsi="Verdana" w:cs="Verdana"/>
                <w:color w:val="000000"/>
                <w:sz w:val="18"/>
                <w:szCs w:val="18"/>
                <w:lang w:val="ro-RO"/>
              </w:rPr>
              <w:br/>
              <w:t>63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 zona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Remetea Poganici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9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 zone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Mare</w:t>
            </w:r>
          </w:p>
        </w:tc>
        <w:tc>
          <w:tcPr>
            <w:tcW w:w="1933"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Z1 -6</w:t>
            </w:r>
            <w:r>
              <w:rPr>
                <w:rFonts w:ascii="Verdana" w:hAnsi="Verdana" w:cs="Verdana"/>
                <w:color w:val="000000"/>
                <w:sz w:val="18"/>
                <w:szCs w:val="18"/>
                <w:lang w:val="ro-RO"/>
              </w:rPr>
              <w:br/>
              <w:t>Z2 - 5</w:t>
            </w:r>
            <w:r>
              <w:rPr>
                <w:rFonts w:ascii="Verdana" w:hAnsi="Verdana" w:cs="Verdana"/>
                <w:color w:val="000000"/>
                <w:sz w:val="18"/>
                <w:szCs w:val="18"/>
                <w:lang w:val="ro-RO"/>
              </w:rPr>
              <w:br/>
              <w:t>Z3 -5</w:t>
            </w:r>
          </w:p>
        </w:tc>
        <w:tc>
          <w:tcPr>
            <w:tcW w:w="2207"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r>
              <w:rPr>
                <w:rFonts w:ascii="Verdana" w:hAnsi="Verdana" w:cs="Verdana"/>
                <w:color w:val="000000"/>
                <w:sz w:val="18"/>
                <w:szCs w:val="18"/>
                <w:lang w:val="ro-RO"/>
              </w:rPr>
              <w:br/>
              <w:t>14</w:t>
            </w:r>
            <w:r>
              <w:rPr>
                <w:rFonts w:ascii="Verdana" w:hAnsi="Verdana" w:cs="Verdana"/>
                <w:color w:val="000000"/>
                <w:sz w:val="18"/>
                <w:szCs w:val="18"/>
                <w:lang w:val="ro-RO"/>
              </w:rPr>
              <w:br/>
              <w:t>16</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15</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Goruia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de sub deal numit Fata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Girliste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lui Sofi</w:t>
            </w:r>
            <w:r>
              <w:rPr>
                <w:rFonts w:ascii="Verdana" w:hAnsi="Verdana" w:cs="Verdana"/>
                <w:color w:val="000000"/>
                <w:sz w:val="18"/>
                <w:szCs w:val="18"/>
                <w:lang w:val="ro-RO"/>
              </w:rPr>
              <w:br/>
              <w:t>Strada lui Cotirla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Giurgiova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lui Ofelia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Girliste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16</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Luncavița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sz w:val="18"/>
                <w:szCs w:val="18"/>
                <w:lang w:val="ro-RO"/>
              </w:rPr>
            </w:pPr>
            <w:r>
              <w:rPr>
                <w:rFonts w:ascii="Verdana" w:hAnsi="Verdana" w:cs="Verdana"/>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sz w:val="18"/>
                <w:szCs w:val="18"/>
                <w:lang w:val="ro-RO"/>
              </w:rPr>
            </w:pPr>
            <w:r>
              <w:rPr>
                <w:rFonts w:ascii="Verdana" w:hAnsi="Verdana" w:cs="Verdana"/>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sz w:val="18"/>
                <w:szCs w:val="18"/>
                <w:lang w:val="ro-RO"/>
              </w:rPr>
            </w:pPr>
            <w:r>
              <w:rPr>
                <w:rFonts w:ascii="Verdana" w:hAnsi="Verdana" w:cs="Verdana"/>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Tiganilor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Verendin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80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Golet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Verendin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65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Raul Satului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Verendin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25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82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Isaie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Verendin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60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lastRenderedPageBreak/>
              <w:t>16.5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Bloju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Verendin</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22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75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 xml:space="preserve">Str. </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Luncavita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85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16.7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sz w:val="18"/>
                <w:szCs w:val="18"/>
                <w:lang w:val="ro-RO"/>
              </w:rPr>
            </w:pPr>
            <w:r>
              <w:rPr>
                <w:rFonts w:ascii="Verdana" w:hAnsi="Verdana" w:cs="Verdana"/>
                <w:sz w:val="18"/>
                <w:szCs w:val="18"/>
                <w:lang w:val="ro-RO"/>
              </w:rPr>
              <w:t>Str. Micola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Luncavita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63</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17</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Mehadia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Carierei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Mehadia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Strolea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Mehadia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Banot (Victor)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Mehadia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Bisericii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Bolvasnita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Ursasca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Bolvasnita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Caminului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Bolvasnita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Nistor Moaca stanga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Bolvasnita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Nistor Moaca dreapta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Bolvasnita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18</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Naidas</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Dealul Turcului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Naidas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Glavita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Lescovita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6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Mica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Lescovita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19</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Ocna de Fier</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Stros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Ocna de Fier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20</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Sacu</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Dealu Bisericii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Valea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Valea Radului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Mortanet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Poiana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Moara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Sacu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21</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Sasca Montană</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Mihai Novac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drum spre Cimitirul Catolic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Langa Biserica Catolica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Vrati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Slatina Nera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21.6</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Surulesti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Slatina Nera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21.7</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Porovat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Slatina Nera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21.8</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Fabric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Slatina Nera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21.9</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Sporecea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21.10</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Sporecea Mica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21.11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Centru Turistic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Sasca Romana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Moldoveni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Potoc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Tiganilor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Potoc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Bisericii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Potoc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21.15</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Magazin Cornel</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Potoc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22</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Sichevița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Orevita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Orevita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Brestelnic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Brestelnic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Ogasul Podului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Ogasul Podului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Sichevita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Sichevita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Ravensca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Ravensca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58</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Cracu Almaj</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Cracu Almaj</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Zanau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Zanau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Camenita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Camenita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Cirsie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Cirsie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Curmatura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Curmatura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Zasloane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Zasloane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Crusovita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Crusovita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Lucacevat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Lucacevat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Liborajdea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Liborajdea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Martinovat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Martinovat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Straneac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Straneac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Frasinis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Frasinis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23</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Vermes</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Cimitirului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Izgar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23.2</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Cravai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Izgar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300"/>
          <w:jc w:val="center"/>
        </w:trPr>
        <w:tc>
          <w:tcPr>
            <w:tcW w:w="740" w:type="dxa"/>
            <w:tcBorders>
              <w:top w:val="nil"/>
              <w:left w:val="single" w:sz="8" w:space="0" w:color="auto"/>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23.3</w:t>
            </w:r>
          </w:p>
        </w:tc>
        <w:tc>
          <w:tcPr>
            <w:tcW w:w="2359" w:type="dxa"/>
            <w:tcBorders>
              <w:top w:val="nil"/>
              <w:left w:val="nil"/>
              <w:bottom w:val="nil"/>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Valea Satului</w:t>
            </w:r>
          </w:p>
        </w:tc>
        <w:tc>
          <w:tcPr>
            <w:tcW w:w="2138" w:type="dxa"/>
            <w:tcBorders>
              <w:top w:val="nil"/>
              <w:left w:val="nil"/>
              <w:bottom w:val="nil"/>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Ersig</w:t>
            </w:r>
          </w:p>
        </w:tc>
        <w:tc>
          <w:tcPr>
            <w:tcW w:w="1933" w:type="dxa"/>
            <w:tcBorders>
              <w:top w:val="nil"/>
              <w:left w:val="nil"/>
              <w:bottom w:val="nil"/>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nil"/>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24</w:t>
            </w:r>
          </w:p>
        </w:tc>
        <w:tc>
          <w:tcPr>
            <w:tcW w:w="2359" w:type="dxa"/>
            <w:tcBorders>
              <w:top w:val="single" w:sz="4" w:space="0" w:color="auto"/>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Mehadica</w:t>
            </w:r>
          </w:p>
        </w:tc>
        <w:tc>
          <w:tcPr>
            <w:tcW w:w="2138" w:type="dxa"/>
            <w:tcBorders>
              <w:top w:val="single" w:sz="4" w:space="0" w:color="auto"/>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single" w:sz="4" w:space="0" w:color="auto"/>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single" w:sz="4" w:space="0" w:color="auto"/>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6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xml:space="preserve">Creasa, Str. Piatra Surului, Str. Cimitirului, Str. Morilor, Str. San </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Mehadica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25</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Toplet</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Borugile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Prund</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162</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Bigai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Calun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Cerna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Toplet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153</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26</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Socol</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xml:space="preserve">Str. "La Blocuri" </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Zlatita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"Sprund"</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Zlatita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"La cimitir"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Socol</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"Manastirii"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Bazias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lastRenderedPageBreak/>
              <w:t>27</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Dalboset</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Tiganie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5-12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390-393</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167-185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186-187</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419-422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Dalboset</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126-145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Sopotu Vechi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243-245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Sopotu Vechi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283-292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Sopotu Vechi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28</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Grădinari</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357-369</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21-30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31-45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124-133</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301-325</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245-262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Postei-158-166</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Mlaca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Irugii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Cimitir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nil"/>
              <w:right w:val="nil"/>
            </w:tcBorders>
            <w:noWrap/>
            <w:vAlign w:val="center"/>
          </w:tcPr>
          <w:p>
            <w:pPr>
              <w:spacing w:line="276" w:lineRule="auto"/>
              <w:rPr>
                <w:rFonts w:ascii="Verdana" w:hAnsi="Verdana" w:cs="Verdana"/>
                <w:color w:val="000000"/>
                <w:sz w:val="18"/>
                <w:szCs w:val="18"/>
                <w:lang w:val="ro-RO"/>
              </w:rPr>
            </w:pPr>
          </w:p>
        </w:tc>
        <w:tc>
          <w:tcPr>
            <w:tcW w:w="2207"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Postei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300-308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Piata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Gradinari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Blocuri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 apartamente</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Blocuri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 apartamente</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199-206</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Cimitir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28.18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Nr. 347-357</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Greoni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29</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Cărbunari</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5"/>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Dragoionilor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Carbunari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41"/>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"Ogas"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Carbunari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nil"/>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5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"Tufe"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Carbunari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single" w:sz="4" w:space="0" w:color="auto"/>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41"/>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 "Padurea Mica"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Carbunari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5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"Cotul tiganilor"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Carbunari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90</w:t>
            </w:r>
          </w:p>
        </w:tc>
      </w:tr>
      <w:tr>
        <w:trPr>
          <w:trHeight w:val="359"/>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In "Ogas"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Stinapari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35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Pe "Deal"</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Stinapari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30</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Copăcele</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404"/>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Bisericii nr. 120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Copacele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r>
      <w:tr>
        <w:trPr>
          <w:trHeight w:val="341"/>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Bisericii nr. 161</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Copacele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Leria nr. 233B</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Zorile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30.4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Pohari nr. 190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Zorile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31</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Păltiniș</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DGRS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Paltinis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COMETCAR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Paltinis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firma</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Corlea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Cornutelu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Dancilor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Cornutelu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Borau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Delinesti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Biserica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Delinesti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Drumul Taberei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Delinesti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Gradinita-Biserica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Delinesti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Biserica Penticostala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Delinesti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32</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Turnu Ruieni</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Lunca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Borlova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103</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33</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Marga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6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33.1</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Complex Medical Crestin "Izvorul Tamaduirii"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Marga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 de vacanta "Fataciuna"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Marga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"Manzu"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Marga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33.4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"Cimitirul"</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Marga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34</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Valiug</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23"/>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numita Hartu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Valiug</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35</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Lăpușnicu Mare</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casa nr. 123</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Lapusnicu Mare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casa nr. 88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Lapusnicu Mare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casa nr. 231</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Lapusnicu Mare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casa nr. 119</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Moceris</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36</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Răcășdia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 nr. 499-522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 nr. 184-192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 nr. 288-307</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 nr. 171-182</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 nr. 471-480</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Vraniut nr. 45-64</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Vraniut nr. 73-88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Vraniut nr. 99-119</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Racasdia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37</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Vărădia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cu Piatra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Varadia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114</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38</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Teregova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Colnic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Teregova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Tiganie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Teregova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38.3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Tiganie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Teregova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38.4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Teregova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39</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Glimboca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Baia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Glimboca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cartier Bucium</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Glimboca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40</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Târnova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163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Pietris Str. Murgu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PietrisStr.Piciu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Pietris Str. Stapan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Neagra Str. Pocaitu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Lenga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Timpa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Sirbu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Buca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Tirnova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41</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Bautar</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 Gura Popii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 Scolii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UlitaDopilor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UlitaGarii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UlitaZepa-Vacari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69</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UlitaFrasina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Bautar</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UlitaTarina-Ulita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 Mare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UlitaGelareni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Bucova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84</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42</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Oțelu Roșu</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Baia, nr. 36-38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Sat Mal, nr. 82-87</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6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42.3</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Teodor Aman (pod peste Bistra, zona Otelarilor, în stanga)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9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42.4</w:t>
            </w:r>
          </w:p>
        </w:tc>
        <w:tc>
          <w:tcPr>
            <w:tcW w:w="2359" w:type="dxa"/>
            <w:tcBorders>
              <w:top w:val="nil"/>
              <w:left w:val="nil"/>
              <w:bottom w:val="single" w:sz="4" w:space="0" w:color="auto"/>
              <w:right w:val="single" w:sz="4" w:space="0" w:color="auto"/>
            </w:tcBorders>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Extravilan, cartier Cireasa, la capatul str. 1 Mai (a doua strada pe dreapta)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43</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Rusca Montană</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Soimu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Mucica 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Tincova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Catamaru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Ciocane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Spiter (Peter Pan)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39</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Mucica 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Piriul Morii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Ruschita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69</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43.9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Cracul Lung</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Ruschita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43.10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Floratie</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Ruschita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44</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Ramna</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sz w:val="18"/>
                <w:szCs w:val="18"/>
                <w:lang w:val="ro-RO"/>
              </w:rPr>
            </w:pPr>
            <w:r>
              <w:rPr>
                <w:rFonts w:ascii="Verdana" w:hAnsi="Verdana" w:cs="Verdana"/>
                <w:sz w:val="18"/>
                <w:szCs w:val="18"/>
                <w:lang w:val="ro-RO"/>
              </w:rPr>
              <w:t>BirauRozaia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Gherdan Roman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Branigu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Ciuraru Ion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Stingu Ana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Solea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Ramna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Gega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Valeapai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Jac</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Valeapai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Achim Achim 121</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Valeapai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44.10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Stana Cristian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Valeapai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45</w:t>
            </w:r>
          </w:p>
        </w:tc>
        <w:tc>
          <w:tcPr>
            <w:tcW w:w="2359"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Băile Herculane</w:t>
            </w:r>
          </w:p>
        </w:tc>
        <w:tc>
          <w:tcPr>
            <w:tcW w:w="2138"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413"/>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Garii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w:t>
            </w:r>
          </w:p>
        </w:tc>
      </w:tr>
      <w:tr>
        <w:trPr>
          <w:trHeight w:val="359"/>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Siminicea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r>
      <w:tr>
        <w:trPr>
          <w:trHeight w:val="345"/>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Fabrica de Var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Florilor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32</w:t>
            </w:r>
          </w:p>
        </w:tc>
      </w:tr>
      <w:tr>
        <w:trPr>
          <w:trHeight w:val="345"/>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Zavoiului (zona Vila ASIROM)</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Liliacului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11</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Licuricilor</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r>
      <w:tr>
        <w:trPr>
          <w:trHeight w:val="341"/>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45.8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 Domogled</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36</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46</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Ticvanu Mare</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Selistea Mica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Tigana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96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Drumul Agadiciului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Ticvanu Mic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31</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46.4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Casa Poot</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Ticvanu Mic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47</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Forotic</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lui Simion Gerpa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Forotic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Ormenisan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Comoraste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Tărbăț</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Comoraste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Valea Găștii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Forotic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Justin Nicula nr. 188</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Surduc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47.6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Ababei Paul nr. 136</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Surduc</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48</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Șopotu Nou</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Toata zona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Rachita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Toata zona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CarsaRosie</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48.3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Fata Izvorului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 Rachitei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15</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49</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Brebu</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Ivan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Brebu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Tiganeasca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Brebu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lastRenderedPageBreak/>
              <w:t>49.3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Iulus</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Brebu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Rada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Brebu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12</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18</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Jdean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Brebu</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49.6</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Brebu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Valeadeni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49.7</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Malu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Valeadeni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49.8</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Albai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Valeadeni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49.9</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Magazin</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Valeadeni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13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49.10</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Jorz</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Valeadeni</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Tigani</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Apadia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24</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Filca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Apadia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49.13</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Barlea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Apadia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49.14</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Sucaranu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Apadia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8</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49.15</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Strada Suciu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Apadia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35</w:t>
            </w:r>
          </w:p>
        </w:tc>
      </w:tr>
      <w:tr>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50</w:t>
            </w:r>
          </w:p>
        </w:tc>
        <w:tc>
          <w:tcPr>
            <w:tcW w:w="2359"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Domasnea</w:t>
            </w:r>
          </w:p>
        </w:tc>
        <w:tc>
          <w:tcPr>
            <w:tcW w:w="2138"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pPr>
              <w:spacing w:line="276" w:lineRule="auto"/>
              <w:rPr>
                <w:rFonts w:ascii="Verdana" w:hAnsi="Verdana" w:cs="Verdana"/>
                <w:b/>
                <w:bCs/>
                <w:color w:val="000000"/>
                <w:sz w:val="18"/>
                <w:szCs w:val="18"/>
                <w:lang w:val="ro-RO"/>
              </w:rPr>
            </w:pPr>
            <w:r>
              <w:rPr>
                <w:rFonts w:ascii="Verdana" w:hAnsi="Verdana" w:cs="Verdana"/>
                <w:b/>
                <w:bCs/>
                <w:color w:val="000000"/>
                <w:sz w:val="18"/>
                <w:szCs w:val="18"/>
                <w:lang w:val="ro-RO"/>
              </w:rPr>
              <w:t> </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50.1</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OgasAchimorfu</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Domasnea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7</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25</w:t>
            </w:r>
          </w:p>
        </w:tc>
      </w:tr>
      <w:tr>
        <w:trPr>
          <w:trHeight w:val="300"/>
          <w:jc w:val="center"/>
        </w:trPr>
        <w:tc>
          <w:tcPr>
            <w:tcW w:w="740" w:type="dxa"/>
            <w:tcBorders>
              <w:top w:val="nil"/>
              <w:left w:val="single" w:sz="4" w:space="0" w:color="auto"/>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50.2</w:t>
            </w:r>
          </w:p>
        </w:tc>
        <w:tc>
          <w:tcPr>
            <w:tcW w:w="2359"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Zona Costacecea</w:t>
            </w:r>
          </w:p>
        </w:tc>
        <w:tc>
          <w:tcPr>
            <w:tcW w:w="2138"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Canecea</w:t>
            </w:r>
          </w:p>
        </w:tc>
        <w:tc>
          <w:tcPr>
            <w:tcW w:w="1933"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6</w:t>
            </w:r>
          </w:p>
        </w:tc>
        <w:tc>
          <w:tcPr>
            <w:tcW w:w="2207" w:type="dxa"/>
            <w:tcBorders>
              <w:top w:val="nil"/>
              <w:left w:val="nil"/>
              <w:bottom w:val="single" w:sz="4" w:space="0" w:color="auto"/>
              <w:right w:val="single" w:sz="4" w:space="0" w:color="auto"/>
            </w:tcBorders>
            <w:noWrap/>
            <w:vAlign w:val="center"/>
          </w:tcPr>
          <w:p>
            <w:pPr>
              <w:spacing w:line="276" w:lineRule="auto"/>
              <w:rPr>
                <w:rFonts w:ascii="Verdana" w:hAnsi="Verdana" w:cs="Verdana"/>
                <w:color w:val="000000"/>
                <w:sz w:val="18"/>
                <w:szCs w:val="18"/>
                <w:lang w:val="ro-RO"/>
              </w:rPr>
            </w:pPr>
            <w:r>
              <w:rPr>
                <w:rFonts w:ascii="Verdana" w:hAnsi="Verdana" w:cs="Verdana"/>
                <w:color w:val="000000"/>
                <w:sz w:val="18"/>
                <w:szCs w:val="18"/>
                <w:lang w:val="ro-RO"/>
              </w:rPr>
              <w:t>20</w:t>
            </w:r>
          </w:p>
        </w:tc>
      </w:tr>
    </w:tbl>
    <w:p>
      <w:pPr>
        <w:spacing w:after="120" w:line="288" w:lineRule="auto"/>
        <w:ind w:firstLine="720"/>
        <w:jc w:val="both"/>
        <w:rPr>
          <w:rFonts w:ascii="Verdana" w:hAnsi="Verdana" w:cs="Verdana"/>
          <w:i/>
          <w:iCs/>
          <w:sz w:val="18"/>
          <w:szCs w:val="18"/>
          <w:lang w:val="ro-RO"/>
        </w:rPr>
      </w:pPr>
      <w:r>
        <w:rPr>
          <w:rFonts w:ascii="Verdana" w:hAnsi="Verdana" w:cs="Verdana"/>
          <w:i/>
          <w:iCs/>
          <w:sz w:val="18"/>
          <w:szCs w:val="18"/>
          <w:lang w:val="ro-RO"/>
        </w:rPr>
        <w:t>Sursa datelor: autoritățile publice locale, ianuarie 2014</w:t>
      </w:r>
    </w:p>
    <w:p>
      <w:pPr>
        <w:spacing w:after="120" w:line="288" w:lineRule="auto"/>
        <w:ind w:firstLine="720"/>
        <w:jc w:val="both"/>
        <w:rPr>
          <w:rFonts w:ascii="Verdana" w:hAnsi="Verdana" w:cs="Verdana"/>
          <w:i/>
          <w:iCs/>
          <w:sz w:val="18"/>
          <w:szCs w:val="18"/>
          <w:lang w:val="ro-RO"/>
        </w:rPr>
      </w:pPr>
    </w:p>
    <w:p>
      <w:pPr>
        <w:spacing w:after="120" w:line="288" w:lineRule="auto"/>
        <w:ind w:firstLine="720"/>
        <w:jc w:val="both"/>
        <w:rPr>
          <w:rFonts w:ascii="Verdana" w:hAnsi="Verdana" w:cs="Verdana"/>
          <w:i/>
          <w:iCs/>
          <w:sz w:val="18"/>
          <w:szCs w:val="18"/>
          <w:lang w:val="ro-RO"/>
        </w:rPr>
      </w:pPr>
    </w:p>
    <w:p>
      <w:pPr>
        <w:spacing w:after="120" w:line="288" w:lineRule="auto"/>
        <w:ind w:firstLine="720"/>
        <w:jc w:val="both"/>
        <w:rPr>
          <w:rFonts w:ascii="Verdana" w:hAnsi="Verdana" w:cs="Verdana"/>
          <w:i/>
          <w:iCs/>
          <w:sz w:val="18"/>
          <w:szCs w:val="18"/>
          <w:lang w:val="ro-RO"/>
        </w:rPr>
        <w:sectPr>
          <w:pgSz w:w="11909" w:h="16834" w:code="9"/>
          <w:pgMar w:top="864" w:right="864" w:bottom="864" w:left="864" w:header="706" w:footer="706" w:gutter="0"/>
          <w:cols w:space="708"/>
          <w:docGrid w:linePitch="360"/>
        </w:sectPr>
      </w:pPr>
    </w:p>
    <w:p>
      <w:pPr>
        <w:pStyle w:val="StyleHeading1Verdana14ptCenteredBefore0ptAfter"/>
        <w:rPr>
          <w:lang w:val="ro-RO"/>
        </w:rPr>
      </w:pPr>
      <w:bookmarkStart w:id="85" w:name="_Toc41469129"/>
      <w:r>
        <w:rPr>
          <w:lang w:val="ro-RO"/>
        </w:rPr>
        <w:lastRenderedPageBreak/>
        <w:t>ANEXA 5</w:t>
      </w:r>
      <w:r>
        <w:rPr>
          <w:lang w:val="ro-RO"/>
        </w:rPr>
        <w:tab/>
        <w:t>CONTRAVENȚIIÎNDOMENIUL SERVICIULUI DE SALUBRIZARE PENTRU OPERATORI/UTILIZATORIȘI CUANTUMUL AMENZILOR APLICATE</w:t>
      </w:r>
      <w:bookmarkEnd w:id="85"/>
    </w:p>
    <w:p>
      <w:pPr>
        <w:spacing w:after="240" w:line="276" w:lineRule="auto"/>
        <w:jc w:val="both"/>
        <w:rPr>
          <w:rFonts w:ascii="Verdana" w:hAnsi="Verdana" w:cs="Verdana"/>
          <w:b/>
          <w:bCs/>
          <w:sz w:val="18"/>
          <w:szCs w:val="18"/>
          <w:lang w:val="ro-RO"/>
        </w:rPr>
      </w:pPr>
    </w:p>
    <w:p>
      <w:pPr>
        <w:spacing w:after="240" w:line="276" w:lineRule="auto"/>
        <w:jc w:val="both"/>
        <w:rPr>
          <w:rFonts w:ascii="Verdana" w:hAnsi="Verdana" w:cs="Verdana"/>
          <w:b/>
          <w:bCs/>
          <w:sz w:val="18"/>
          <w:szCs w:val="18"/>
          <w:lang w:val="ro-RO"/>
        </w:rPr>
      </w:pPr>
      <w:r>
        <w:rPr>
          <w:rFonts w:ascii="Verdana" w:hAnsi="Verdana" w:cs="Verdana"/>
          <w:b/>
          <w:bCs/>
          <w:sz w:val="18"/>
          <w:szCs w:val="18"/>
          <w:lang w:val="ro-RO"/>
        </w:rPr>
        <w:t>2.1 Sancțiuni pentru operatorii serviciului de salubrizare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975"/>
        <w:gridCol w:w="3269"/>
      </w:tblGrid>
      <w:tr>
        <w:tc>
          <w:tcPr>
            <w:tcW w:w="562" w:type="dxa"/>
            <w:shd w:val="clear" w:color="auto" w:fill="99CCFF"/>
            <w:vAlign w:val="center"/>
          </w:tcPr>
          <w:p>
            <w:pPr>
              <w:spacing w:line="312" w:lineRule="auto"/>
              <w:rPr>
                <w:rFonts w:ascii="Verdana" w:hAnsi="Verdana" w:cs="Verdana"/>
                <w:b/>
                <w:bCs/>
                <w:sz w:val="18"/>
                <w:szCs w:val="18"/>
                <w:lang w:val="ro-RO"/>
              </w:rPr>
            </w:pPr>
            <w:r>
              <w:rPr>
                <w:rFonts w:ascii="Verdana" w:hAnsi="Verdana" w:cs="Verdana"/>
                <w:b/>
                <w:bCs/>
                <w:sz w:val="18"/>
                <w:szCs w:val="18"/>
                <w:lang w:val="ro-RO"/>
              </w:rPr>
              <w:t>Nr. crt.</w:t>
            </w:r>
          </w:p>
        </w:tc>
        <w:tc>
          <w:tcPr>
            <w:tcW w:w="5975" w:type="dxa"/>
            <w:shd w:val="clear" w:color="auto" w:fill="99CCFF"/>
            <w:vAlign w:val="center"/>
          </w:tcPr>
          <w:p>
            <w:pPr>
              <w:spacing w:line="312" w:lineRule="auto"/>
              <w:rPr>
                <w:rFonts w:ascii="Verdana" w:hAnsi="Verdana" w:cs="Verdana"/>
                <w:b/>
                <w:bCs/>
                <w:sz w:val="18"/>
                <w:szCs w:val="18"/>
                <w:lang w:val="ro-RO"/>
              </w:rPr>
            </w:pPr>
            <w:r>
              <w:rPr>
                <w:rFonts w:ascii="Verdana" w:hAnsi="Verdana" w:cs="Verdana"/>
                <w:b/>
                <w:bCs/>
                <w:sz w:val="18"/>
                <w:szCs w:val="18"/>
                <w:lang w:val="ro-RO"/>
              </w:rPr>
              <w:t>Descrierea faptei care intră sub incidența sancțiunii</w:t>
            </w:r>
          </w:p>
        </w:tc>
        <w:tc>
          <w:tcPr>
            <w:tcW w:w="3269" w:type="dxa"/>
            <w:shd w:val="clear" w:color="auto" w:fill="99CCFF"/>
            <w:vAlign w:val="center"/>
          </w:tcPr>
          <w:p>
            <w:pPr>
              <w:spacing w:line="312" w:lineRule="auto"/>
              <w:rPr>
                <w:rFonts w:ascii="Verdana" w:hAnsi="Verdana" w:cs="Verdana"/>
                <w:b/>
                <w:bCs/>
                <w:sz w:val="18"/>
                <w:szCs w:val="18"/>
                <w:lang w:val="ro-RO"/>
              </w:rPr>
            </w:pPr>
            <w:r>
              <w:rPr>
                <w:rFonts w:ascii="Verdana" w:hAnsi="Verdana" w:cs="Verdana"/>
                <w:b/>
                <w:bCs/>
                <w:sz w:val="18"/>
                <w:szCs w:val="18"/>
                <w:lang w:val="ro-RO"/>
              </w:rPr>
              <w:t>Cuantumul amenzii (lei)</w:t>
            </w:r>
          </w:p>
        </w:tc>
      </w:tr>
      <w:tr>
        <w:tc>
          <w:tcPr>
            <w:tcW w:w="562" w:type="dxa"/>
            <w:vAlign w:val="center"/>
          </w:tcPr>
          <w:p>
            <w:pPr>
              <w:spacing w:line="312" w:lineRule="auto"/>
              <w:rPr>
                <w:rFonts w:ascii="Verdana" w:hAnsi="Verdana" w:cs="Verdana"/>
                <w:sz w:val="18"/>
                <w:szCs w:val="18"/>
                <w:lang w:val="ro-RO"/>
              </w:rPr>
            </w:pPr>
            <w:r>
              <w:rPr>
                <w:rFonts w:ascii="Verdana" w:hAnsi="Verdana" w:cs="Verdana"/>
                <w:sz w:val="18"/>
                <w:szCs w:val="18"/>
                <w:lang w:val="ro-RO"/>
              </w:rPr>
              <w:t>1</w:t>
            </w:r>
          </w:p>
        </w:tc>
        <w:tc>
          <w:tcPr>
            <w:tcW w:w="5975" w:type="dxa"/>
            <w:vAlign w:val="center"/>
          </w:tcPr>
          <w:p>
            <w:pPr>
              <w:spacing w:line="312" w:lineRule="auto"/>
              <w:rPr>
                <w:rFonts w:ascii="Verdana" w:hAnsi="Verdana" w:cs="Verdana"/>
                <w:sz w:val="18"/>
                <w:szCs w:val="18"/>
                <w:lang w:val="ro-RO"/>
              </w:rPr>
            </w:pPr>
            <w:r>
              <w:rPr>
                <w:rFonts w:ascii="Verdana" w:hAnsi="Verdana" w:cs="Verdana"/>
                <w:sz w:val="18"/>
                <w:szCs w:val="18"/>
                <w:lang w:val="ro-RO"/>
              </w:rPr>
              <w:t>Nerespectarea prevederilor art. 14, art. 23 (8), art. 27, art. 28 (1) și (2), art. 71 (3)</w:t>
            </w:r>
          </w:p>
        </w:tc>
        <w:tc>
          <w:tcPr>
            <w:tcW w:w="3269" w:type="dxa"/>
            <w:vAlign w:val="center"/>
          </w:tcPr>
          <w:p>
            <w:pPr>
              <w:spacing w:line="312" w:lineRule="auto"/>
              <w:rPr>
                <w:rFonts w:ascii="Verdana" w:hAnsi="Verdana" w:cs="Verdana"/>
                <w:sz w:val="18"/>
                <w:szCs w:val="18"/>
                <w:lang w:val="ro-RO"/>
              </w:rPr>
            </w:pPr>
            <w:r>
              <w:rPr>
                <w:rFonts w:ascii="Verdana" w:hAnsi="Verdana" w:cs="Verdana"/>
                <w:sz w:val="18"/>
                <w:szCs w:val="18"/>
                <w:lang w:val="ro-RO"/>
              </w:rPr>
              <w:t>1.000 – 2.500 lei</w:t>
            </w:r>
          </w:p>
        </w:tc>
      </w:tr>
    </w:tbl>
    <w:p>
      <w:pPr>
        <w:spacing w:after="240" w:line="276" w:lineRule="auto"/>
        <w:jc w:val="both"/>
        <w:rPr>
          <w:rFonts w:ascii="Verdana" w:hAnsi="Verdana" w:cs="Verdana"/>
          <w:sz w:val="18"/>
          <w:szCs w:val="18"/>
          <w:lang w:val="ro-RO"/>
        </w:rPr>
      </w:pPr>
    </w:p>
    <w:p>
      <w:pPr>
        <w:spacing w:after="240" w:line="276" w:lineRule="auto"/>
        <w:jc w:val="both"/>
        <w:rPr>
          <w:rFonts w:ascii="Verdana" w:hAnsi="Verdana" w:cs="Verdana"/>
          <w:b/>
          <w:bCs/>
          <w:sz w:val="18"/>
          <w:szCs w:val="18"/>
          <w:lang w:val="ro-RO"/>
        </w:rPr>
      </w:pPr>
      <w:r>
        <w:rPr>
          <w:rFonts w:ascii="Verdana" w:hAnsi="Verdana" w:cs="Verdana"/>
          <w:b/>
          <w:bCs/>
          <w:sz w:val="18"/>
          <w:szCs w:val="18"/>
          <w:lang w:val="ro-RO"/>
        </w:rPr>
        <w:t>2.2 Sancțiuni pentru utilizatorii serviciului de salubrizare</w:t>
      </w:r>
    </w:p>
    <w:tbl>
      <w:tblPr>
        <w:tblpPr w:leftFromText="180" w:rightFromText="180" w:vertAnchor="text" w:tblpXSpec="center" w:tblpY="1"/>
        <w:tblOverlap w:val="neve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6209"/>
        <w:gridCol w:w="1440"/>
        <w:gridCol w:w="1620"/>
      </w:tblGrid>
      <w:tr>
        <w:trPr>
          <w:trHeight w:val="351"/>
          <w:jc w:val="center"/>
        </w:trPr>
        <w:tc>
          <w:tcPr>
            <w:tcW w:w="559" w:type="dxa"/>
            <w:vMerge w:val="restart"/>
            <w:shd w:val="clear" w:color="auto" w:fill="99CCFF"/>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Nr. crt.</w:t>
            </w:r>
          </w:p>
        </w:tc>
        <w:tc>
          <w:tcPr>
            <w:tcW w:w="6209" w:type="dxa"/>
            <w:vMerge w:val="restart"/>
            <w:shd w:val="clear" w:color="auto" w:fill="99CCFF"/>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Contravenție</w:t>
            </w:r>
          </w:p>
        </w:tc>
        <w:tc>
          <w:tcPr>
            <w:tcW w:w="3060" w:type="dxa"/>
            <w:gridSpan w:val="2"/>
            <w:shd w:val="clear" w:color="auto" w:fill="99CCFF"/>
            <w:vAlign w:val="center"/>
          </w:tcPr>
          <w:p>
            <w:pPr>
              <w:spacing w:line="276" w:lineRule="auto"/>
              <w:jc w:val="center"/>
              <w:rPr>
                <w:rFonts w:ascii="Verdana" w:hAnsi="Verdana" w:cs="Verdana"/>
                <w:b/>
                <w:bCs/>
                <w:sz w:val="18"/>
                <w:szCs w:val="18"/>
                <w:lang w:val="ro-RO"/>
              </w:rPr>
            </w:pPr>
            <w:r>
              <w:rPr>
                <w:rFonts w:ascii="Verdana" w:hAnsi="Verdana" w:cs="Verdana"/>
                <w:b/>
                <w:bCs/>
                <w:sz w:val="18"/>
                <w:szCs w:val="18"/>
                <w:lang w:val="ro-RO"/>
              </w:rPr>
              <w:t>Sancțiune (lei)</w:t>
            </w:r>
          </w:p>
        </w:tc>
      </w:tr>
      <w:tr>
        <w:trPr>
          <w:jc w:val="center"/>
        </w:trPr>
        <w:tc>
          <w:tcPr>
            <w:tcW w:w="559" w:type="dxa"/>
            <w:vMerge/>
            <w:shd w:val="clear" w:color="auto" w:fill="99CCFF"/>
            <w:vAlign w:val="center"/>
          </w:tcPr>
          <w:p>
            <w:pPr>
              <w:spacing w:line="276" w:lineRule="auto"/>
              <w:rPr>
                <w:rFonts w:ascii="Verdana" w:hAnsi="Verdana" w:cs="Verdana"/>
                <w:b/>
                <w:bCs/>
                <w:sz w:val="18"/>
                <w:szCs w:val="18"/>
                <w:lang w:val="ro-RO"/>
              </w:rPr>
            </w:pPr>
          </w:p>
        </w:tc>
        <w:tc>
          <w:tcPr>
            <w:tcW w:w="6209" w:type="dxa"/>
            <w:vMerge/>
            <w:shd w:val="clear" w:color="auto" w:fill="99CCFF"/>
            <w:vAlign w:val="center"/>
          </w:tcPr>
          <w:p>
            <w:pPr>
              <w:spacing w:line="276" w:lineRule="auto"/>
              <w:rPr>
                <w:rFonts w:ascii="Verdana" w:hAnsi="Verdana" w:cs="Verdana"/>
                <w:b/>
                <w:bCs/>
                <w:sz w:val="18"/>
                <w:szCs w:val="18"/>
                <w:lang w:val="ro-RO"/>
              </w:rPr>
            </w:pPr>
          </w:p>
        </w:tc>
        <w:tc>
          <w:tcPr>
            <w:tcW w:w="1440" w:type="dxa"/>
            <w:shd w:val="clear" w:color="auto" w:fill="99CCFF"/>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Persoane fizice</w:t>
            </w:r>
          </w:p>
        </w:tc>
        <w:tc>
          <w:tcPr>
            <w:tcW w:w="1620" w:type="dxa"/>
            <w:shd w:val="clear" w:color="auto" w:fill="99CCFF"/>
            <w:vAlign w:val="center"/>
          </w:tcPr>
          <w:p>
            <w:pPr>
              <w:spacing w:line="276" w:lineRule="auto"/>
              <w:rPr>
                <w:rFonts w:ascii="Verdana" w:hAnsi="Verdana" w:cs="Verdana"/>
                <w:b/>
                <w:bCs/>
                <w:sz w:val="18"/>
                <w:szCs w:val="18"/>
                <w:lang w:val="ro-RO"/>
              </w:rPr>
            </w:pPr>
            <w:r>
              <w:rPr>
                <w:rFonts w:ascii="Verdana" w:hAnsi="Verdana" w:cs="Verdana"/>
                <w:b/>
                <w:bCs/>
                <w:sz w:val="18"/>
                <w:szCs w:val="18"/>
                <w:lang w:val="ro-RO"/>
              </w:rPr>
              <w:t>Persoane juridice</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1</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Abandonarea deşeurilor municipale pe spațiile verzi, căile de comunicație, în locurile publice sau în alte locuri decât cele special amenajate.</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2500 - 12.500</w:t>
            </w:r>
          </w:p>
        </w:tc>
      </w:tr>
      <w:tr>
        <w:trPr>
          <w:trHeight w:val="540"/>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2</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Neîncheierea  contractelor dintre utilizatorii care trebuie să plătească serviciul de salubrizare prin tarif și operatorii autorizați pentru colectarea şi transportul deşeurilor municipale.</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2500 - 12.500</w:t>
            </w:r>
          </w:p>
        </w:tc>
      </w:tr>
      <w:tr>
        <w:trPr>
          <w:trHeight w:val="540"/>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3</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Nerespectarea regulilor privind colectarea separată a deșeurilor*</w:t>
            </w:r>
          </w:p>
        </w:tc>
        <w:tc>
          <w:tcPr>
            <w:tcW w:w="3060" w:type="dxa"/>
            <w:gridSpan w:val="2"/>
            <w:vAlign w:val="center"/>
          </w:tcPr>
          <w:p>
            <w:pPr>
              <w:spacing w:line="276" w:lineRule="auto"/>
              <w:rPr>
                <w:rFonts w:ascii="Verdana" w:hAnsi="Verdana" w:cs="Verdana"/>
                <w:sz w:val="18"/>
                <w:szCs w:val="18"/>
                <w:lang w:val="ro-RO"/>
              </w:rPr>
            </w:pPr>
            <w:r>
              <w:rPr>
                <w:rFonts w:ascii="Verdana" w:hAnsi="Verdana" w:cs="Verdana"/>
                <w:sz w:val="18"/>
                <w:szCs w:val="18"/>
                <w:lang w:val="ro-RO"/>
              </w:rPr>
              <w:t>Sancțiunea propusă este ca beneficiarii serviciului care plătesc tarif și care nu colectează în mod corect deșeurile să plătească un tarif de 7,5 ori mai mare față de cel stabilit pentru colectarea corectă**.</w:t>
            </w:r>
          </w:p>
          <w:p>
            <w:pPr>
              <w:spacing w:line="276" w:lineRule="auto"/>
              <w:rPr>
                <w:rFonts w:ascii="Verdana" w:hAnsi="Verdana" w:cs="Verdana"/>
                <w:sz w:val="18"/>
                <w:szCs w:val="18"/>
                <w:lang w:val="ro-RO"/>
              </w:rPr>
            </w:pPr>
            <w:r>
              <w:rPr>
                <w:rFonts w:ascii="Verdana" w:hAnsi="Verdana" w:cs="Verdana"/>
                <w:sz w:val="18"/>
                <w:szCs w:val="18"/>
                <w:lang w:val="ro-RO"/>
              </w:rPr>
              <w:t xml:space="preserve">Pentru utilizatorii care plătesc taxă, modul de aplicare a taxei penalizatoare se regăsește în </w:t>
            </w:r>
            <w:r>
              <w:rPr>
                <w:rFonts w:ascii="Verdana" w:hAnsi="Verdana" w:cs="Verdana"/>
                <w:i/>
                <w:iCs/>
                <w:sz w:val="18"/>
                <w:szCs w:val="18"/>
                <w:lang w:val="ro-RO"/>
              </w:rPr>
              <w:t>Regulamentul de implementare a taxei</w:t>
            </w:r>
            <w:r>
              <w:rPr>
                <w:rFonts w:ascii="Verdana" w:hAnsi="Verdana" w:cs="Verdana"/>
                <w:sz w:val="18"/>
                <w:szCs w:val="18"/>
                <w:lang w:val="ro-RO"/>
              </w:rPr>
              <w:t>.</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4</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Depozitarea deşeurilor pe punctele/platformele de colectare în afara recipientelor și nepăstrarea curățeniei</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2500 – 5.000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5</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Depunerea în recipientele de colectare a deşeurilor municipale de pe platformele amenajate pe domeniul public, de deşeuri animaliere (dejecții, cadavre de animale/păsări), deşeuri de construcții/desființări, deşeuri vegetale, deşeuri periculoase etc.</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1000 – 5.000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5.000 – 12.500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6</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Neasigurarea sau obstrucționarea/blocarea căilor de acces către platformele de colectare pentru mijloacele de transport ale operatorilor.</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100 - 200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7</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Aruncarea deșeurilor de construcții și desființări pe domeniul public sau privat al localității.</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250 - 500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5.000 – 10.000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8</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Blocarea gurilor de canal prin depozitarea de deșeuri, pământ sau moloz.</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250 - 500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2500 – 10.000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9</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Utilizarea recipientelor pentru colectarea separată a deşeurilor reciclabile în alte scopuri decât cele pentru care sunt destinate (inclusiv pentru colectarea deșeurilor în amestec).</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2500 – 10.000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lastRenderedPageBreak/>
              <w:t>10</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Deteriorarea și/sau sustragerea recipientelor/părți ale acestora, aflate în punctele de colectare a deșeurilor.</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2.000</w:t>
            </w:r>
          </w:p>
        </w:tc>
        <w:tc>
          <w:tcPr>
            <w:tcW w:w="1620" w:type="dxa"/>
            <w:vAlign w:val="center"/>
          </w:tcPr>
          <w:p>
            <w:pPr>
              <w:spacing w:line="276" w:lineRule="auto"/>
              <w:rPr>
                <w:rFonts w:ascii="Verdana" w:hAnsi="Verdana" w:cs="Verdana"/>
                <w:sz w:val="18"/>
                <w:szCs w:val="18"/>
                <w:lang w:val="ro-RO"/>
              </w:rPr>
            </w:pP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11</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Folosirea recipientelor de colectare de pe platformele de colectare aferente asociațiilor de proprietari/locatari de către utilizatorii non-casnici.</w:t>
            </w:r>
          </w:p>
        </w:tc>
        <w:tc>
          <w:tcPr>
            <w:tcW w:w="1440" w:type="dxa"/>
            <w:vAlign w:val="center"/>
          </w:tcPr>
          <w:p>
            <w:pPr>
              <w:spacing w:line="276" w:lineRule="auto"/>
              <w:rPr>
                <w:rFonts w:ascii="Verdana" w:hAnsi="Verdana" w:cs="Verdana"/>
                <w:sz w:val="18"/>
                <w:szCs w:val="18"/>
                <w:lang w:val="ro-RO"/>
              </w:rPr>
            </w:pP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2.000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12</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Colectarea de către operatorii economici în recipientele pentru deșeurile asimilabile a deșeurilor industriale (rezultate din activitatea acestora).</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1.000-2.000</w:t>
            </w:r>
          </w:p>
          <w:p>
            <w:pPr>
              <w:spacing w:line="276" w:lineRule="auto"/>
              <w:rPr>
                <w:rFonts w:ascii="Verdana" w:hAnsi="Verdana" w:cs="Verdana"/>
                <w:sz w:val="18"/>
                <w:szCs w:val="18"/>
                <w:lang w:val="ro-RO"/>
              </w:rPr>
            </w:pP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13</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Utilizarea recipientelor pentru colectarea deșeurile stradale de către operatorii economici pentru colectarea deșeurilor asimilabile rezultate din activitatea proprie.</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2.000</w:t>
            </w:r>
          </w:p>
        </w:tc>
      </w:tr>
      <w:tr>
        <w:trPr>
          <w:jc w:val="center"/>
        </w:trPr>
        <w:tc>
          <w:tcPr>
            <w:tcW w:w="559" w:type="dxa"/>
            <w:vAlign w:val="center"/>
          </w:tcPr>
          <w:p>
            <w:pPr>
              <w:spacing w:line="276" w:lineRule="auto"/>
              <w:rPr>
                <w:rFonts w:ascii="Verdana" w:hAnsi="Verdana" w:cs="Verdana"/>
                <w:sz w:val="18"/>
                <w:szCs w:val="18"/>
                <w:lang w:val="ro-RO"/>
              </w:rPr>
            </w:pPr>
            <w:r>
              <w:rPr>
                <w:rFonts w:ascii="Verdana" w:hAnsi="Verdana" w:cs="Verdana"/>
                <w:sz w:val="18"/>
                <w:szCs w:val="18"/>
                <w:lang w:val="ro-RO"/>
              </w:rPr>
              <w:t>14</w:t>
            </w:r>
          </w:p>
        </w:tc>
        <w:tc>
          <w:tcPr>
            <w:tcW w:w="6209" w:type="dxa"/>
            <w:vAlign w:val="center"/>
          </w:tcPr>
          <w:p>
            <w:pPr>
              <w:spacing w:line="276" w:lineRule="auto"/>
              <w:rPr>
                <w:rFonts w:ascii="Verdana" w:hAnsi="Verdana" w:cs="Verdana"/>
                <w:sz w:val="18"/>
                <w:szCs w:val="18"/>
                <w:lang w:val="ro-RO"/>
              </w:rPr>
            </w:pPr>
            <w:r>
              <w:rPr>
                <w:rFonts w:ascii="Verdana" w:hAnsi="Verdana" w:cs="Verdana"/>
                <w:sz w:val="18"/>
                <w:szCs w:val="18"/>
                <w:lang w:val="ro-RO"/>
              </w:rPr>
              <w:t>Utilizarea recipientelor pentru colectarea deșeurile stradale de către utilizatorii casnici pentru colectarea deșeurilor menajere.</w:t>
            </w:r>
          </w:p>
        </w:tc>
        <w:tc>
          <w:tcPr>
            <w:tcW w:w="1440" w:type="dxa"/>
            <w:vAlign w:val="center"/>
          </w:tcPr>
          <w:p>
            <w:pPr>
              <w:spacing w:line="276" w:lineRule="auto"/>
              <w:rPr>
                <w:rFonts w:ascii="Verdana" w:hAnsi="Verdana" w:cs="Verdana"/>
                <w:sz w:val="18"/>
                <w:szCs w:val="18"/>
                <w:lang w:val="ro-RO"/>
              </w:rPr>
            </w:pPr>
            <w:r>
              <w:rPr>
                <w:rFonts w:ascii="Verdana" w:hAnsi="Verdana" w:cs="Verdana"/>
                <w:sz w:val="18"/>
                <w:szCs w:val="18"/>
                <w:lang w:val="ro-RO"/>
              </w:rPr>
              <w:t>500 - 1000</w:t>
            </w:r>
          </w:p>
        </w:tc>
        <w:tc>
          <w:tcPr>
            <w:tcW w:w="1620" w:type="dxa"/>
            <w:vAlign w:val="center"/>
          </w:tcPr>
          <w:p>
            <w:pPr>
              <w:spacing w:line="276" w:lineRule="auto"/>
              <w:rPr>
                <w:rFonts w:ascii="Verdana" w:hAnsi="Verdana" w:cs="Verdana"/>
                <w:sz w:val="18"/>
                <w:szCs w:val="18"/>
                <w:lang w:val="ro-RO"/>
              </w:rPr>
            </w:pPr>
            <w:r>
              <w:rPr>
                <w:rFonts w:ascii="Verdana" w:hAnsi="Verdana" w:cs="Verdana"/>
                <w:sz w:val="18"/>
                <w:szCs w:val="18"/>
                <w:lang w:val="ro-RO"/>
              </w:rPr>
              <w:t>-</w:t>
            </w:r>
          </w:p>
        </w:tc>
      </w:tr>
    </w:tbl>
    <w:p>
      <w:pPr>
        <w:spacing w:after="120" w:line="288" w:lineRule="auto"/>
        <w:ind w:left="142"/>
        <w:jc w:val="both"/>
        <w:rPr>
          <w:rFonts w:ascii="Verdana" w:hAnsi="Verdana" w:cs="Verdana"/>
          <w:sz w:val="18"/>
          <w:szCs w:val="18"/>
          <w:lang w:val="ro-RO"/>
        </w:rPr>
      </w:pPr>
      <w:bookmarkStart w:id="86" w:name="_Hlk11157352"/>
      <w:r>
        <w:rPr>
          <w:rFonts w:ascii="Verdana" w:hAnsi="Verdana" w:cs="Verdana"/>
          <w:sz w:val="18"/>
          <w:szCs w:val="18"/>
          <w:lang w:val="ro-RO"/>
        </w:rPr>
        <w:t>* Operatorul va avea dreptul reîncadrării deşeurilor reciclabile, respectiv a biodeșeurilor colectate separat în deșeuri reziduale cu aplicarea tarifului respectiv, deopotrivă cu sancțiunea prevăzută, în cazul în care se constată un grad de impurificare a deșeurilor colectate separat mai mare de 25%, respectiv 10%.</w:t>
      </w:r>
    </w:p>
    <w:p>
      <w:pPr>
        <w:spacing w:after="120" w:line="288" w:lineRule="auto"/>
        <w:ind w:left="142"/>
        <w:jc w:val="both"/>
        <w:rPr>
          <w:rFonts w:ascii="Verdana" w:hAnsi="Verdana" w:cs="Verdana"/>
          <w:sz w:val="18"/>
          <w:szCs w:val="18"/>
          <w:lang w:val="ro-RO"/>
        </w:rPr>
      </w:pPr>
      <w:r>
        <w:rPr>
          <w:rFonts w:ascii="Verdana" w:hAnsi="Verdana" w:cs="Verdana"/>
          <w:sz w:val="18"/>
          <w:szCs w:val="18"/>
          <w:lang w:val="ro-RO"/>
        </w:rPr>
        <w:t>** Nivelul tarifului penalizator, precum și procedura constatării decătre operator a colectării separate neconforme se stabilesc și se aprobă, prin hotărâre, adoptată decătre autoritatea deliberativă a administrației publice locale. Cazurile de colectare neconformă identificate vor fi raportate decătre operator la UAT.</w:t>
      </w:r>
    </w:p>
    <w:bookmarkEnd w:id="86"/>
    <w:p>
      <w:pPr>
        <w:autoSpaceDE w:val="0"/>
        <w:autoSpaceDN w:val="0"/>
        <w:adjustRightInd w:val="0"/>
        <w:spacing w:after="240" w:line="276" w:lineRule="auto"/>
        <w:jc w:val="both"/>
        <w:rPr>
          <w:rFonts w:ascii="Verdana" w:hAnsi="Verdana" w:cs="Verdana"/>
          <w:i/>
          <w:iCs/>
          <w:sz w:val="18"/>
          <w:szCs w:val="18"/>
          <w:lang w:val="ro-RO"/>
        </w:rPr>
      </w:pPr>
    </w:p>
    <w:p>
      <w:pPr>
        <w:autoSpaceDE w:val="0"/>
        <w:autoSpaceDN w:val="0"/>
        <w:adjustRightInd w:val="0"/>
        <w:spacing w:after="240" w:line="276" w:lineRule="auto"/>
        <w:jc w:val="both"/>
        <w:rPr>
          <w:rFonts w:ascii="Verdana" w:hAnsi="Verdana" w:cs="Verdana"/>
          <w:i/>
          <w:iCs/>
          <w:sz w:val="18"/>
          <w:szCs w:val="18"/>
          <w:lang w:val="ro-RO"/>
        </w:rPr>
      </w:pPr>
    </w:p>
    <w:p>
      <w:pPr>
        <w:spacing w:after="120" w:line="288" w:lineRule="auto"/>
        <w:ind w:firstLine="720"/>
        <w:jc w:val="both"/>
        <w:rPr>
          <w:rFonts w:ascii="Verdana" w:hAnsi="Verdana" w:cs="Verdana"/>
          <w:i/>
          <w:iCs/>
          <w:sz w:val="18"/>
          <w:szCs w:val="18"/>
          <w:lang w:val="ro-RO"/>
        </w:rPr>
      </w:pPr>
    </w:p>
    <w:sectPr>
      <w:pgSz w:w="11909" w:h="16834" w:code="9"/>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uto" w:vAnchor="text" w:hAnchor="margin" w:xAlign="right" w:y="1"/>
      <w:rPr>
        <w:rStyle w:val="PageNumber"/>
        <w:rFonts w:ascii="Verdana" w:hAnsi="Verdana" w:cs="Verdana"/>
        <w:sz w:val="20"/>
        <w:szCs w:val="20"/>
      </w:rPr>
    </w:pPr>
  </w:p>
  <w:p>
    <w:pPr>
      <w:pStyle w:val="Footer"/>
      <w:ind w:right="360"/>
      <w:rPr>
        <w:rFonts w:ascii="Verdana" w:hAnsi="Verdana" w:cs="Verdana"/>
        <w:b/>
        <w:bCs/>
        <w:i/>
        <w:iCs/>
        <w:sz w:val="20"/>
        <w:szCs w:val="20"/>
      </w:rPr>
    </w:pPr>
    <w:r>
      <w:rPr>
        <w:rFonts w:ascii="Verdana" w:hAnsi="Verdana" w:cs="Verdana"/>
        <w:b/>
        <w:bCs/>
        <w:i/>
        <w:iCs/>
        <w:sz w:val="20"/>
        <w:szCs w:val="20"/>
      </w:rPr>
      <w:t>Mai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uto" w:vAnchor="text" w:hAnchor="margin" w:xAlign="right" w:y="1"/>
      <w:rPr>
        <w:rStyle w:val="PageNumbe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PAGE  </w:instrText>
    </w:r>
    <w:r>
      <w:rPr>
        <w:rStyle w:val="PageNumber"/>
        <w:rFonts w:ascii="Verdana" w:hAnsi="Verdana" w:cs="Verdana"/>
        <w:sz w:val="20"/>
        <w:szCs w:val="20"/>
      </w:rPr>
      <w:fldChar w:fldCharType="separate"/>
    </w:r>
    <w:r>
      <w:rPr>
        <w:rStyle w:val="PageNumber"/>
        <w:rFonts w:ascii="Verdana" w:hAnsi="Verdana" w:cs="Verdana"/>
        <w:noProof/>
        <w:sz w:val="20"/>
        <w:szCs w:val="20"/>
      </w:rPr>
      <w:t>34</w:t>
    </w:r>
    <w:r>
      <w:rPr>
        <w:rStyle w:val="PageNumber"/>
        <w:rFonts w:ascii="Verdana" w:hAnsi="Verdana" w:cs="Verdana"/>
        <w:sz w:val="20"/>
        <w:szCs w:val="20"/>
      </w:rPr>
      <w:fldChar w:fldCharType="end"/>
    </w:r>
  </w:p>
  <w:p>
    <w:pPr>
      <w:pStyle w:val="Footer"/>
      <w:ind w:right="360"/>
      <w:rPr>
        <w:rFonts w:ascii="Verdana" w:hAnsi="Verdana" w:cs="Verdana"/>
        <w:i/>
        <w:iCs/>
        <w:sz w:val="20"/>
        <w:szCs w:val="20"/>
      </w:rPr>
    </w:pPr>
    <w:r>
      <w:rPr>
        <w:rFonts w:ascii="Verdana" w:hAnsi="Verdana" w:cs="Verdana"/>
        <w:i/>
        <w:iCs/>
        <w:sz w:val="20"/>
        <w:szCs w:val="20"/>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id="1">
    <w:p>
      <w:pPr>
        <w:pStyle w:val="FootnoteText"/>
      </w:pPr>
      <w:r>
        <w:rPr>
          <w:rStyle w:val="FootnoteReference"/>
          <w:rFonts w:ascii="Verdana" w:hAnsi="Verdana" w:cs="Verdana"/>
          <w:sz w:val="18"/>
          <w:szCs w:val="18"/>
        </w:rPr>
        <w:footnoteRef/>
      </w:r>
      <w:r>
        <w:rPr>
          <w:rFonts w:ascii="Verdana" w:hAnsi="Verdana" w:cs="Verdana"/>
          <w:sz w:val="18"/>
          <w:szCs w:val="18"/>
        </w:rPr>
        <w:t xml:space="preserve"> Conform rezultatelor recensamantului din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rFonts w:ascii="Verdana" w:hAnsi="Verdana" w:cs="Verdana"/>
        <w:i/>
        <w:iCs/>
        <w:sz w:val="20"/>
        <w:szCs w:val="20"/>
        <w:lang w:val="pt-BR"/>
      </w:rPr>
    </w:pPr>
    <w:r>
      <w:rPr>
        <w:rFonts w:ascii="Verdana" w:hAnsi="Verdana" w:cs="Verdana"/>
        <w:i/>
        <w:iCs/>
        <w:sz w:val="20"/>
        <w:szCs w:val="20"/>
        <w:lang w:val="pt-BR"/>
      </w:rPr>
      <w:t>Regulamentul Serviciului de Salubrizare pentru Județul Caraș Severin</w:t>
    </w:r>
  </w:p>
  <w:p>
    <w:pPr>
      <w:pStyle w:val="Header"/>
      <w:jc w:val="center"/>
      <w:rPr>
        <w:rFonts w:ascii="Arial" w:hAnsi="Arial" w:cs="Arial"/>
        <w:i/>
        <w:iCs/>
        <w:color w:val="3366FF"/>
        <w:sz w:val="20"/>
        <w:szCs w:val="20"/>
        <w:lang w:val="pt-BR"/>
      </w:rPr>
    </w:pPr>
  </w:p>
  <w:p>
    <w:pPr>
      <w:pStyle w:val="Header"/>
      <w:jc w:val="center"/>
      <w:rPr>
        <w:rFonts w:ascii="Arial" w:hAnsi="Arial" w:cs="Arial"/>
        <w:i/>
        <w:iCs/>
        <w:color w:val="3366FF"/>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lowerLetter"/>
      <w:lvlText w:val="%1)"/>
      <w:lvlJc w:val="left"/>
      <w:pPr>
        <w:tabs>
          <w:tab w:val="num" w:pos="480"/>
        </w:tabs>
        <w:ind w:left="480" w:hanging="360"/>
      </w:pPr>
    </w:lvl>
  </w:abstractNum>
  <w:abstractNum w:abstractNumId="1" w15:restartNumberingAfterBreak="0">
    <w:nsid w:val="00E91E09"/>
    <w:multiLevelType w:val="hybridMultilevel"/>
    <w:tmpl w:val="CE808F50"/>
    <w:lvl w:ilvl="0" w:tplc="F7E8FFCA">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2" w15:restartNumberingAfterBreak="0">
    <w:nsid w:val="021055BB"/>
    <w:multiLevelType w:val="hybridMultilevel"/>
    <w:tmpl w:val="4F6E9680"/>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02923B3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40C5F14"/>
    <w:multiLevelType w:val="hybridMultilevel"/>
    <w:tmpl w:val="B09613A6"/>
    <w:lvl w:ilvl="0" w:tplc="F7E8FFCA">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5" w15:restartNumberingAfterBreak="0">
    <w:nsid w:val="04E60C06"/>
    <w:multiLevelType w:val="hybridMultilevel"/>
    <w:tmpl w:val="F8F208C0"/>
    <w:lvl w:ilvl="0" w:tplc="1CC4F3A0">
      <w:start w:val="1"/>
      <w:numFmt w:val="lowerLetter"/>
      <w:lvlText w:val="%1)"/>
      <w:lvlJc w:val="left"/>
      <w:pPr>
        <w:tabs>
          <w:tab w:val="num" w:pos="540"/>
        </w:tabs>
        <w:ind w:left="540" w:hanging="360"/>
      </w:pPr>
      <w:rPr>
        <w:rFonts w:ascii="Arial" w:hAnsi="Arial" w:cs="Arial" w:hint="default"/>
        <w:strike w:val="0"/>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6" w15:restartNumberingAfterBreak="0">
    <w:nsid w:val="055546C6"/>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05CD3F43"/>
    <w:multiLevelType w:val="hybridMultilevel"/>
    <w:tmpl w:val="B20AC116"/>
    <w:lvl w:ilvl="0" w:tplc="EC46F82A">
      <w:start w:val="1"/>
      <w:numFmt w:val="lowerLetter"/>
      <w:lvlText w:val="%1)"/>
      <w:lvlJc w:val="left"/>
      <w:pPr>
        <w:tabs>
          <w:tab w:val="num" w:pos="957"/>
        </w:tabs>
        <w:ind w:left="957" w:hanging="360"/>
      </w:pPr>
      <w:rPr>
        <w:rFonts w:hint="default"/>
      </w:rPr>
    </w:lvl>
    <w:lvl w:ilvl="1" w:tplc="04070019">
      <w:start w:val="1"/>
      <w:numFmt w:val="lowerLetter"/>
      <w:lvlText w:val="%2."/>
      <w:lvlJc w:val="left"/>
      <w:pPr>
        <w:tabs>
          <w:tab w:val="num" w:pos="1677"/>
        </w:tabs>
        <w:ind w:left="1677" w:hanging="360"/>
      </w:pPr>
    </w:lvl>
    <w:lvl w:ilvl="2" w:tplc="0407001B">
      <w:start w:val="1"/>
      <w:numFmt w:val="lowerRoman"/>
      <w:lvlText w:val="%3."/>
      <w:lvlJc w:val="right"/>
      <w:pPr>
        <w:tabs>
          <w:tab w:val="num" w:pos="2397"/>
        </w:tabs>
        <w:ind w:left="2397" w:hanging="180"/>
      </w:pPr>
    </w:lvl>
    <w:lvl w:ilvl="3" w:tplc="0407000F">
      <w:start w:val="1"/>
      <w:numFmt w:val="decimal"/>
      <w:lvlText w:val="%4."/>
      <w:lvlJc w:val="left"/>
      <w:pPr>
        <w:tabs>
          <w:tab w:val="num" w:pos="3117"/>
        </w:tabs>
        <w:ind w:left="3117" w:hanging="360"/>
      </w:pPr>
    </w:lvl>
    <w:lvl w:ilvl="4" w:tplc="04070019">
      <w:start w:val="1"/>
      <w:numFmt w:val="lowerLetter"/>
      <w:lvlText w:val="%5."/>
      <w:lvlJc w:val="left"/>
      <w:pPr>
        <w:tabs>
          <w:tab w:val="num" w:pos="3837"/>
        </w:tabs>
        <w:ind w:left="3837" w:hanging="360"/>
      </w:pPr>
    </w:lvl>
    <w:lvl w:ilvl="5" w:tplc="0407001B">
      <w:start w:val="1"/>
      <w:numFmt w:val="lowerRoman"/>
      <w:lvlText w:val="%6."/>
      <w:lvlJc w:val="right"/>
      <w:pPr>
        <w:tabs>
          <w:tab w:val="num" w:pos="4557"/>
        </w:tabs>
        <w:ind w:left="4557" w:hanging="180"/>
      </w:pPr>
    </w:lvl>
    <w:lvl w:ilvl="6" w:tplc="0407000F">
      <w:start w:val="1"/>
      <w:numFmt w:val="decimal"/>
      <w:lvlText w:val="%7."/>
      <w:lvlJc w:val="left"/>
      <w:pPr>
        <w:tabs>
          <w:tab w:val="num" w:pos="5277"/>
        </w:tabs>
        <w:ind w:left="5277" w:hanging="360"/>
      </w:pPr>
    </w:lvl>
    <w:lvl w:ilvl="7" w:tplc="04070019">
      <w:start w:val="1"/>
      <w:numFmt w:val="lowerLetter"/>
      <w:lvlText w:val="%8."/>
      <w:lvlJc w:val="left"/>
      <w:pPr>
        <w:tabs>
          <w:tab w:val="num" w:pos="5997"/>
        </w:tabs>
        <w:ind w:left="5997" w:hanging="360"/>
      </w:pPr>
    </w:lvl>
    <w:lvl w:ilvl="8" w:tplc="0407001B">
      <w:start w:val="1"/>
      <w:numFmt w:val="lowerRoman"/>
      <w:lvlText w:val="%9."/>
      <w:lvlJc w:val="right"/>
      <w:pPr>
        <w:tabs>
          <w:tab w:val="num" w:pos="6717"/>
        </w:tabs>
        <w:ind w:left="6717" w:hanging="180"/>
      </w:pPr>
    </w:lvl>
  </w:abstractNum>
  <w:abstractNum w:abstractNumId="8" w15:restartNumberingAfterBreak="0">
    <w:nsid w:val="06CE43E4"/>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7056CDB"/>
    <w:multiLevelType w:val="hybridMultilevel"/>
    <w:tmpl w:val="A9941DD8"/>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077E266E"/>
    <w:multiLevelType w:val="hybridMultilevel"/>
    <w:tmpl w:val="01601810"/>
    <w:lvl w:ilvl="0" w:tplc="D99CEC92">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11" w15:restartNumberingAfterBreak="0">
    <w:nsid w:val="0878255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95B1C60"/>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A3F3185"/>
    <w:multiLevelType w:val="hybridMultilevel"/>
    <w:tmpl w:val="E9DA0C90"/>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14" w15:restartNumberingAfterBreak="0">
    <w:nsid w:val="0C8750FA"/>
    <w:multiLevelType w:val="hybridMultilevel"/>
    <w:tmpl w:val="A51EDBF4"/>
    <w:lvl w:ilvl="0" w:tplc="D99CEC92">
      <w:start w:val="1"/>
      <w:numFmt w:val="lowerLetter"/>
      <w:lvlText w:val="%1)"/>
      <w:lvlJc w:val="left"/>
      <w:pPr>
        <w:tabs>
          <w:tab w:val="num" w:pos="717"/>
        </w:tabs>
        <w:ind w:left="717" w:hanging="360"/>
      </w:pPr>
      <w:rPr>
        <w:rFonts w:ascii="Arial" w:hAnsi="Arial" w:cs="Aria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15" w15:restartNumberingAfterBreak="0">
    <w:nsid w:val="0D994621"/>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0DA11CAD"/>
    <w:multiLevelType w:val="hybridMultilevel"/>
    <w:tmpl w:val="8B1897FE"/>
    <w:lvl w:ilvl="0" w:tplc="F7E8FFCA">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17" w15:restartNumberingAfterBreak="0">
    <w:nsid w:val="10356885"/>
    <w:multiLevelType w:val="hybridMultilevel"/>
    <w:tmpl w:val="57002BAE"/>
    <w:lvl w:ilvl="0" w:tplc="04180017">
      <w:start w:val="1"/>
      <w:numFmt w:val="lowerLetter"/>
      <w:lvlText w:val="%1)"/>
      <w:lvlJc w:val="left"/>
      <w:pPr>
        <w:tabs>
          <w:tab w:val="num" w:pos="717"/>
        </w:tabs>
        <w:ind w:left="717"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11146DA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40A784B"/>
    <w:multiLevelType w:val="hybridMultilevel"/>
    <w:tmpl w:val="6F743032"/>
    <w:lvl w:ilvl="0" w:tplc="D99CEC92">
      <w:start w:val="1"/>
      <w:numFmt w:val="lowerLetter"/>
      <w:lvlText w:val="%1)"/>
      <w:lvlJc w:val="left"/>
      <w:pPr>
        <w:tabs>
          <w:tab w:val="num" w:pos="717"/>
        </w:tabs>
        <w:ind w:left="717" w:hanging="360"/>
      </w:pPr>
      <w:rPr>
        <w:rFonts w:ascii="Arial" w:hAnsi="Arial" w:cs="Arial" w:hint="default"/>
      </w:rPr>
    </w:lvl>
    <w:lvl w:ilvl="1" w:tplc="04070003">
      <w:start w:val="1"/>
      <w:numFmt w:val="bullet"/>
      <w:lvlText w:val="o"/>
      <w:lvlJc w:val="left"/>
      <w:pPr>
        <w:tabs>
          <w:tab w:val="num" w:pos="1797"/>
        </w:tabs>
        <w:ind w:left="1797" w:hanging="360"/>
      </w:pPr>
      <w:rPr>
        <w:rFonts w:ascii="Courier New" w:hAnsi="Courier New" w:cs="Courier New" w:hint="default"/>
      </w:rPr>
    </w:lvl>
    <w:lvl w:ilvl="2" w:tplc="04070005">
      <w:start w:val="1"/>
      <w:numFmt w:val="bullet"/>
      <w:lvlText w:val=""/>
      <w:lvlJc w:val="left"/>
      <w:pPr>
        <w:tabs>
          <w:tab w:val="num" w:pos="2517"/>
        </w:tabs>
        <w:ind w:left="2517" w:hanging="360"/>
      </w:pPr>
      <w:rPr>
        <w:rFonts w:ascii="Wingdings" w:hAnsi="Wingdings" w:cs="Wingdings" w:hint="default"/>
      </w:rPr>
    </w:lvl>
    <w:lvl w:ilvl="3" w:tplc="04070001">
      <w:start w:val="1"/>
      <w:numFmt w:val="bullet"/>
      <w:lvlText w:val=""/>
      <w:lvlJc w:val="left"/>
      <w:pPr>
        <w:tabs>
          <w:tab w:val="num" w:pos="3237"/>
        </w:tabs>
        <w:ind w:left="3237" w:hanging="360"/>
      </w:pPr>
      <w:rPr>
        <w:rFonts w:ascii="Symbol" w:hAnsi="Symbol" w:cs="Symbol" w:hint="default"/>
      </w:rPr>
    </w:lvl>
    <w:lvl w:ilvl="4" w:tplc="04070003">
      <w:start w:val="1"/>
      <w:numFmt w:val="bullet"/>
      <w:lvlText w:val="o"/>
      <w:lvlJc w:val="left"/>
      <w:pPr>
        <w:tabs>
          <w:tab w:val="num" w:pos="3957"/>
        </w:tabs>
        <w:ind w:left="3957" w:hanging="360"/>
      </w:pPr>
      <w:rPr>
        <w:rFonts w:ascii="Courier New" w:hAnsi="Courier New" w:cs="Courier New" w:hint="default"/>
      </w:rPr>
    </w:lvl>
    <w:lvl w:ilvl="5" w:tplc="04070005">
      <w:start w:val="1"/>
      <w:numFmt w:val="bullet"/>
      <w:lvlText w:val=""/>
      <w:lvlJc w:val="left"/>
      <w:pPr>
        <w:tabs>
          <w:tab w:val="num" w:pos="4677"/>
        </w:tabs>
        <w:ind w:left="4677" w:hanging="360"/>
      </w:pPr>
      <w:rPr>
        <w:rFonts w:ascii="Wingdings" w:hAnsi="Wingdings" w:cs="Wingdings" w:hint="default"/>
      </w:rPr>
    </w:lvl>
    <w:lvl w:ilvl="6" w:tplc="04070001">
      <w:start w:val="1"/>
      <w:numFmt w:val="bullet"/>
      <w:lvlText w:val=""/>
      <w:lvlJc w:val="left"/>
      <w:pPr>
        <w:tabs>
          <w:tab w:val="num" w:pos="5397"/>
        </w:tabs>
        <w:ind w:left="5397" w:hanging="360"/>
      </w:pPr>
      <w:rPr>
        <w:rFonts w:ascii="Symbol" w:hAnsi="Symbol" w:cs="Symbol" w:hint="default"/>
      </w:rPr>
    </w:lvl>
    <w:lvl w:ilvl="7" w:tplc="04070003">
      <w:start w:val="1"/>
      <w:numFmt w:val="bullet"/>
      <w:lvlText w:val="o"/>
      <w:lvlJc w:val="left"/>
      <w:pPr>
        <w:tabs>
          <w:tab w:val="num" w:pos="6117"/>
        </w:tabs>
        <w:ind w:left="6117" w:hanging="360"/>
      </w:pPr>
      <w:rPr>
        <w:rFonts w:ascii="Courier New" w:hAnsi="Courier New" w:cs="Courier New" w:hint="default"/>
      </w:rPr>
    </w:lvl>
    <w:lvl w:ilvl="8" w:tplc="04070005">
      <w:start w:val="1"/>
      <w:numFmt w:val="bullet"/>
      <w:lvlText w:val=""/>
      <w:lvlJc w:val="left"/>
      <w:pPr>
        <w:tabs>
          <w:tab w:val="num" w:pos="6837"/>
        </w:tabs>
        <w:ind w:left="6837" w:hanging="360"/>
      </w:pPr>
      <w:rPr>
        <w:rFonts w:ascii="Wingdings" w:hAnsi="Wingdings" w:cs="Wingdings" w:hint="default"/>
      </w:rPr>
    </w:lvl>
  </w:abstractNum>
  <w:abstractNum w:abstractNumId="20" w15:restartNumberingAfterBreak="0">
    <w:nsid w:val="15BA2BB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189E0B0A"/>
    <w:multiLevelType w:val="hybridMultilevel"/>
    <w:tmpl w:val="5860B5F4"/>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22" w15:restartNumberingAfterBreak="0">
    <w:nsid w:val="1A555602"/>
    <w:multiLevelType w:val="hybridMultilevel"/>
    <w:tmpl w:val="3E5CC68C"/>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3" w15:restartNumberingAfterBreak="0">
    <w:nsid w:val="1B943557"/>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1E556B9D"/>
    <w:multiLevelType w:val="hybridMultilevel"/>
    <w:tmpl w:val="54084D5E"/>
    <w:lvl w:ilvl="0" w:tplc="C5F49BC8">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25" w15:restartNumberingAfterBreak="0">
    <w:nsid w:val="21D6350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1FE5158"/>
    <w:multiLevelType w:val="hybridMultilevel"/>
    <w:tmpl w:val="A0DEF0B6"/>
    <w:lvl w:ilvl="0" w:tplc="D8049BB4">
      <w:start w:val="1"/>
      <w:numFmt w:val="lowerLetter"/>
      <w:lvlText w:val="%1)"/>
      <w:lvlJc w:val="left"/>
      <w:pPr>
        <w:tabs>
          <w:tab w:val="num" w:pos="717"/>
        </w:tabs>
        <w:ind w:left="717" w:hanging="360"/>
      </w:pPr>
      <w:rPr>
        <w:rFonts w:ascii="Arial" w:hAnsi="Arial" w:cs="Arial" w:hint="default"/>
      </w:rPr>
    </w:lvl>
    <w:lvl w:ilvl="1" w:tplc="F72CF888">
      <w:start w:val="1"/>
      <w:numFmt w:val="lowerLetter"/>
      <w:lvlText w:val="%2."/>
      <w:lvlJc w:val="left"/>
      <w:pPr>
        <w:tabs>
          <w:tab w:val="num" w:pos="840"/>
        </w:tabs>
        <w:ind w:left="840" w:hanging="360"/>
      </w:pPr>
    </w:lvl>
    <w:lvl w:ilvl="2" w:tplc="1B62C6F4">
      <w:start w:val="1"/>
      <w:numFmt w:val="lowerRoman"/>
      <w:lvlText w:val="%3."/>
      <w:lvlJc w:val="right"/>
      <w:pPr>
        <w:tabs>
          <w:tab w:val="num" w:pos="1560"/>
        </w:tabs>
        <w:ind w:left="1560" w:hanging="180"/>
      </w:pPr>
    </w:lvl>
    <w:lvl w:ilvl="3" w:tplc="0DACEA4E">
      <w:start w:val="1"/>
      <w:numFmt w:val="decimal"/>
      <w:lvlText w:val="%4."/>
      <w:lvlJc w:val="left"/>
      <w:pPr>
        <w:tabs>
          <w:tab w:val="num" w:pos="2280"/>
        </w:tabs>
        <w:ind w:left="2280" w:hanging="360"/>
      </w:pPr>
    </w:lvl>
    <w:lvl w:ilvl="4" w:tplc="38C66366">
      <w:start w:val="1"/>
      <w:numFmt w:val="lowerLetter"/>
      <w:lvlText w:val="%5."/>
      <w:lvlJc w:val="left"/>
      <w:pPr>
        <w:tabs>
          <w:tab w:val="num" w:pos="3000"/>
        </w:tabs>
        <w:ind w:left="3000" w:hanging="360"/>
      </w:pPr>
    </w:lvl>
    <w:lvl w:ilvl="5" w:tplc="A7D29AA0">
      <w:start w:val="1"/>
      <w:numFmt w:val="lowerRoman"/>
      <w:lvlText w:val="%6."/>
      <w:lvlJc w:val="right"/>
      <w:pPr>
        <w:tabs>
          <w:tab w:val="num" w:pos="3720"/>
        </w:tabs>
        <w:ind w:left="3720" w:hanging="180"/>
      </w:pPr>
    </w:lvl>
    <w:lvl w:ilvl="6" w:tplc="78001108">
      <w:start w:val="1"/>
      <w:numFmt w:val="decimal"/>
      <w:lvlText w:val="%7."/>
      <w:lvlJc w:val="left"/>
      <w:pPr>
        <w:tabs>
          <w:tab w:val="num" w:pos="4440"/>
        </w:tabs>
        <w:ind w:left="4440" w:hanging="360"/>
      </w:pPr>
    </w:lvl>
    <w:lvl w:ilvl="7" w:tplc="AB742C80">
      <w:start w:val="1"/>
      <w:numFmt w:val="lowerLetter"/>
      <w:lvlText w:val="%8."/>
      <w:lvlJc w:val="left"/>
      <w:pPr>
        <w:tabs>
          <w:tab w:val="num" w:pos="5160"/>
        </w:tabs>
        <w:ind w:left="5160" w:hanging="360"/>
      </w:pPr>
    </w:lvl>
    <w:lvl w:ilvl="8" w:tplc="9998C1A8">
      <w:start w:val="1"/>
      <w:numFmt w:val="lowerRoman"/>
      <w:lvlText w:val="%9."/>
      <w:lvlJc w:val="right"/>
      <w:pPr>
        <w:tabs>
          <w:tab w:val="num" w:pos="5880"/>
        </w:tabs>
        <w:ind w:left="5880" w:hanging="180"/>
      </w:pPr>
    </w:lvl>
  </w:abstractNum>
  <w:abstractNum w:abstractNumId="27" w15:restartNumberingAfterBreak="0">
    <w:nsid w:val="222D5F51"/>
    <w:multiLevelType w:val="hybridMultilevel"/>
    <w:tmpl w:val="FF8E8F80"/>
    <w:lvl w:ilvl="0" w:tplc="F28475D2">
      <w:start w:val="1"/>
      <w:numFmt w:val="lowerLetter"/>
      <w:lvlText w:val="%1)"/>
      <w:lvlJc w:val="left"/>
      <w:pPr>
        <w:tabs>
          <w:tab w:val="num" w:pos="717"/>
        </w:tabs>
        <w:ind w:left="717" w:hanging="360"/>
      </w:pPr>
      <w:rPr>
        <w:rFonts w:ascii="Arial" w:hAnsi="Arial" w:cs="Arial" w:hint="default"/>
      </w:rPr>
    </w:lvl>
    <w:lvl w:ilvl="1" w:tplc="68FAE0D4">
      <w:start w:val="1"/>
      <w:numFmt w:val="lowerLetter"/>
      <w:lvlText w:val="%2."/>
      <w:lvlJc w:val="left"/>
      <w:pPr>
        <w:tabs>
          <w:tab w:val="num" w:pos="840"/>
        </w:tabs>
        <w:ind w:left="840" w:hanging="360"/>
      </w:pPr>
    </w:lvl>
    <w:lvl w:ilvl="2" w:tplc="C4847898">
      <w:start w:val="1"/>
      <w:numFmt w:val="lowerRoman"/>
      <w:lvlText w:val="%3."/>
      <w:lvlJc w:val="right"/>
      <w:pPr>
        <w:tabs>
          <w:tab w:val="num" w:pos="1560"/>
        </w:tabs>
        <w:ind w:left="1560" w:hanging="180"/>
      </w:pPr>
    </w:lvl>
    <w:lvl w:ilvl="3" w:tplc="D8528558">
      <w:start w:val="1"/>
      <w:numFmt w:val="decimal"/>
      <w:lvlText w:val="%4."/>
      <w:lvlJc w:val="left"/>
      <w:pPr>
        <w:tabs>
          <w:tab w:val="num" w:pos="2280"/>
        </w:tabs>
        <w:ind w:left="2280" w:hanging="360"/>
      </w:pPr>
    </w:lvl>
    <w:lvl w:ilvl="4" w:tplc="EA763A44">
      <w:start w:val="1"/>
      <w:numFmt w:val="lowerLetter"/>
      <w:lvlText w:val="%5."/>
      <w:lvlJc w:val="left"/>
      <w:pPr>
        <w:tabs>
          <w:tab w:val="num" w:pos="3000"/>
        </w:tabs>
        <w:ind w:left="3000" w:hanging="360"/>
      </w:pPr>
    </w:lvl>
    <w:lvl w:ilvl="5" w:tplc="D064454E">
      <w:start w:val="1"/>
      <w:numFmt w:val="lowerRoman"/>
      <w:lvlText w:val="%6."/>
      <w:lvlJc w:val="right"/>
      <w:pPr>
        <w:tabs>
          <w:tab w:val="num" w:pos="3720"/>
        </w:tabs>
        <w:ind w:left="3720" w:hanging="180"/>
      </w:pPr>
    </w:lvl>
    <w:lvl w:ilvl="6" w:tplc="46DAA1FA">
      <w:start w:val="1"/>
      <w:numFmt w:val="decimal"/>
      <w:lvlText w:val="%7."/>
      <w:lvlJc w:val="left"/>
      <w:pPr>
        <w:tabs>
          <w:tab w:val="num" w:pos="4440"/>
        </w:tabs>
        <w:ind w:left="4440" w:hanging="360"/>
      </w:pPr>
    </w:lvl>
    <w:lvl w:ilvl="7" w:tplc="8A9E5A34">
      <w:start w:val="1"/>
      <w:numFmt w:val="lowerLetter"/>
      <w:lvlText w:val="%8."/>
      <w:lvlJc w:val="left"/>
      <w:pPr>
        <w:tabs>
          <w:tab w:val="num" w:pos="5160"/>
        </w:tabs>
        <w:ind w:left="5160" w:hanging="360"/>
      </w:pPr>
    </w:lvl>
    <w:lvl w:ilvl="8" w:tplc="04929786">
      <w:start w:val="1"/>
      <w:numFmt w:val="lowerRoman"/>
      <w:lvlText w:val="%9."/>
      <w:lvlJc w:val="right"/>
      <w:pPr>
        <w:tabs>
          <w:tab w:val="num" w:pos="5880"/>
        </w:tabs>
        <w:ind w:left="5880" w:hanging="180"/>
      </w:pPr>
    </w:lvl>
  </w:abstractNum>
  <w:abstractNum w:abstractNumId="28" w15:restartNumberingAfterBreak="0">
    <w:nsid w:val="22415403"/>
    <w:multiLevelType w:val="hybridMultilevel"/>
    <w:tmpl w:val="9AAE7508"/>
    <w:lvl w:ilvl="0" w:tplc="F7E8FFCA">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29" w15:restartNumberingAfterBreak="0">
    <w:nsid w:val="236D4FA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58E7ABA"/>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25A0184C"/>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5BC4B5D"/>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3" w15:restartNumberingAfterBreak="0">
    <w:nsid w:val="26C75BD3"/>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75478CE"/>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28130929"/>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2ACF7450"/>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2AF11754"/>
    <w:multiLevelType w:val="hybridMultilevel"/>
    <w:tmpl w:val="A4C48580"/>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8" w15:restartNumberingAfterBreak="0">
    <w:nsid w:val="2C38289C"/>
    <w:multiLevelType w:val="hybridMultilevel"/>
    <w:tmpl w:val="3932AA4E"/>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9" w15:restartNumberingAfterBreak="0">
    <w:nsid w:val="2FBA1E4F"/>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325B10C7"/>
    <w:multiLevelType w:val="hybridMultilevel"/>
    <w:tmpl w:val="A1909620"/>
    <w:lvl w:ilvl="0" w:tplc="7CB0F780">
      <w:start w:val="1"/>
      <w:numFmt w:val="lowerLetter"/>
      <w:lvlText w:val="%1)"/>
      <w:lvlJc w:val="left"/>
      <w:pPr>
        <w:tabs>
          <w:tab w:val="num" w:pos="717"/>
        </w:tabs>
        <w:ind w:left="717" w:hanging="360"/>
      </w:pPr>
      <w:rPr>
        <w:rFonts w:ascii="Arial" w:hAnsi="Arial" w:cs="Arial" w:hint="default"/>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1" w15:restartNumberingAfterBreak="0">
    <w:nsid w:val="32EC3E36"/>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330E6279"/>
    <w:multiLevelType w:val="hybridMultilevel"/>
    <w:tmpl w:val="2C3EC95E"/>
    <w:lvl w:ilvl="0" w:tplc="AC6ADD06">
      <w:start w:val="1"/>
      <w:numFmt w:val="bullet"/>
      <w:lvlText w:val="-"/>
      <w:lvlJc w:val="left"/>
      <w:pPr>
        <w:tabs>
          <w:tab w:val="num" w:pos="1677"/>
        </w:tabs>
        <w:ind w:left="1677" w:hanging="360"/>
      </w:pPr>
      <w:rPr>
        <w:rFonts w:ascii="Tunga" w:eastAsia="Times New Roman" w:hAnsi="Tunga" w:hint="default"/>
      </w:rPr>
    </w:lvl>
    <w:lvl w:ilvl="1" w:tplc="04090019">
      <w:start w:val="1"/>
      <w:numFmt w:val="lowerLetter"/>
      <w:lvlText w:val="%2)"/>
      <w:lvlJc w:val="left"/>
      <w:pPr>
        <w:tabs>
          <w:tab w:val="num" w:pos="2397"/>
        </w:tabs>
        <w:ind w:left="2397" w:hanging="360"/>
      </w:pPr>
      <w:rPr>
        <w:rFonts w:hint="default"/>
      </w:rPr>
    </w:lvl>
    <w:lvl w:ilvl="2" w:tplc="0409001B">
      <w:start w:val="1"/>
      <w:numFmt w:val="lowerRoman"/>
      <w:lvlText w:val="%3."/>
      <w:lvlJc w:val="right"/>
      <w:pPr>
        <w:tabs>
          <w:tab w:val="num" w:pos="3117"/>
        </w:tabs>
        <w:ind w:left="3117" w:hanging="180"/>
      </w:pPr>
    </w:lvl>
    <w:lvl w:ilvl="3" w:tplc="0409000F">
      <w:start w:val="1"/>
      <w:numFmt w:val="decimal"/>
      <w:lvlText w:val="%4."/>
      <w:lvlJc w:val="left"/>
      <w:pPr>
        <w:tabs>
          <w:tab w:val="num" w:pos="3837"/>
        </w:tabs>
        <w:ind w:left="3837" w:hanging="360"/>
      </w:pPr>
    </w:lvl>
    <w:lvl w:ilvl="4" w:tplc="04090019">
      <w:start w:val="1"/>
      <w:numFmt w:val="lowerLetter"/>
      <w:lvlText w:val="%5."/>
      <w:lvlJc w:val="left"/>
      <w:pPr>
        <w:tabs>
          <w:tab w:val="num" w:pos="4557"/>
        </w:tabs>
        <w:ind w:left="4557" w:hanging="360"/>
      </w:pPr>
    </w:lvl>
    <w:lvl w:ilvl="5" w:tplc="0409001B">
      <w:start w:val="1"/>
      <w:numFmt w:val="lowerRoman"/>
      <w:lvlText w:val="%6."/>
      <w:lvlJc w:val="right"/>
      <w:pPr>
        <w:tabs>
          <w:tab w:val="num" w:pos="5277"/>
        </w:tabs>
        <w:ind w:left="5277" w:hanging="180"/>
      </w:pPr>
    </w:lvl>
    <w:lvl w:ilvl="6" w:tplc="0409000F">
      <w:start w:val="1"/>
      <w:numFmt w:val="decimal"/>
      <w:lvlText w:val="%7."/>
      <w:lvlJc w:val="left"/>
      <w:pPr>
        <w:tabs>
          <w:tab w:val="num" w:pos="5997"/>
        </w:tabs>
        <w:ind w:left="5997" w:hanging="360"/>
      </w:pPr>
    </w:lvl>
    <w:lvl w:ilvl="7" w:tplc="04090019">
      <w:start w:val="1"/>
      <w:numFmt w:val="lowerLetter"/>
      <w:lvlText w:val="%8."/>
      <w:lvlJc w:val="left"/>
      <w:pPr>
        <w:tabs>
          <w:tab w:val="num" w:pos="6717"/>
        </w:tabs>
        <w:ind w:left="6717" w:hanging="360"/>
      </w:pPr>
    </w:lvl>
    <w:lvl w:ilvl="8" w:tplc="0409001B">
      <w:start w:val="1"/>
      <w:numFmt w:val="lowerRoman"/>
      <w:lvlText w:val="%9."/>
      <w:lvlJc w:val="right"/>
      <w:pPr>
        <w:tabs>
          <w:tab w:val="num" w:pos="7437"/>
        </w:tabs>
        <w:ind w:left="7437" w:hanging="180"/>
      </w:pPr>
    </w:lvl>
  </w:abstractNum>
  <w:abstractNum w:abstractNumId="43" w15:restartNumberingAfterBreak="0">
    <w:nsid w:val="34752C35"/>
    <w:multiLevelType w:val="hybridMultilevel"/>
    <w:tmpl w:val="4C48FCA2"/>
    <w:lvl w:ilvl="0" w:tplc="0AE67358">
      <w:start w:val="1"/>
      <w:numFmt w:val="lowerLetter"/>
      <w:lvlText w:val="%1)"/>
      <w:lvlJc w:val="left"/>
      <w:pPr>
        <w:tabs>
          <w:tab w:val="num" w:pos="717"/>
        </w:tabs>
        <w:ind w:left="717" w:hanging="360"/>
      </w:pPr>
      <w:rPr>
        <w:rFonts w:ascii="Arial" w:hAnsi="Arial" w:cs="Arial" w:hint="default"/>
      </w:rPr>
    </w:lvl>
    <w:lvl w:ilvl="1" w:tplc="D17C17CE">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44" w15:restartNumberingAfterBreak="0">
    <w:nsid w:val="35606A06"/>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356F163F"/>
    <w:multiLevelType w:val="hybridMultilevel"/>
    <w:tmpl w:val="28ACA80A"/>
    <w:lvl w:ilvl="0" w:tplc="AC6ADD06">
      <w:start w:val="1"/>
      <w:numFmt w:val="bullet"/>
      <w:lvlText w:val=""/>
      <w:lvlJc w:val="left"/>
      <w:pPr>
        <w:tabs>
          <w:tab w:val="num" w:pos="720"/>
        </w:tabs>
        <w:ind w:left="720" w:hanging="360"/>
      </w:pPr>
      <w:rPr>
        <w:rFonts w:ascii="Symbol" w:hAnsi="Symbol" w:cs="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Wingdings" w:hint="default"/>
      </w:rPr>
    </w:lvl>
    <w:lvl w:ilvl="3" w:tplc="0407000F">
      <w:start w:val="1"/>
      <w:numFmt w:val="bullet"/>
      <w:lvlText w:val=""/>
      <w:lvlJc w:val="left"/>
      <w:pPr>
        <w:tabs>
          <w:tab w:val="num" w:pos="2880"/>
        </w:tabs>
        <w:ind w:left="2880" w:hanging="360"/>
      </w:pPr>
      <w:rPr>
        <w:rFonts w:ascii="Symbol" w:hAnsi="Symbol" w:cs="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Wingdings" w:hint="default"/>
      </w:rPr>
    </w:lvl>
    <w:lvl w:ilvl="6" w:tplc="0407000F">
      <w:start w:val="1"/>
      <w:numFmt w:val="bullet"/>
      <w:lvlText w:val=""/>
      <w:lvlJc w:val="left"/>
      <w:pPr>
        <w:tabs>
          <w:tab w:val="num" w:pos="5040"/>
        </w:tabs>
        <w:ind w:left="5040" w:hanging="360"/>
      </w:pPr>
      <w:rPr>
        <w:rFonts w:ascii="Symbol" w:hAnsi="Symbol" w:cs="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57A3D90"/>
    <w:multiLevelType w:val="hybridMultilevel"/>
    <w:tmpl w:val="177AFAF0"/>
    <w:lvl w:ilvl="0" w:tplc="16422CD6">
      <w:start w:val="1"/>
      <w:numFmt w:val="decimal"/>
      <w:lvlText w:val="(%1)"/>
      <w:lvlJc w:val="left"/>
      <w:pPr>
        <w:ind w:left="360" w:hanging="360"/>
      </w:pPr>
      <w:rPr>
        <w:rFonts w:hint="default"/>
      </w:rPr>
    </w:lvl>
    <w:lvl w:ilvl="1" w:tplc="04180017">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7" w15:restartNumberingAfterBreak="0">
    <w:nsid w:val="35A71134"/>
    <w:multiLevelType w:val="hybridMultilevel"/>
    <w:tmpl w:val="5FD4B4F8"/>
    <w:lvl w:ilvl="0" w:tplc="04090001">
      <w:start w:val="1"/>
      <w:numFmt w:val="lowerLetter"/>
      <w:lvlText w:val="%1)"/>
      <w:lvlJc w:val="left"/>
      <w:pPr>
        <w:tabs>
          <w:tab w:val="num" w:pos="717"/>
        </w:tabs>
        <w:ind w:left="717" w:hanging="360"/>
      </w:pPr>
      <w:rPr>
        <w:rFonts w:ascii="Arial" w:hAnsi="Arial" w:cs="Arial" w:hint="default"/>
      </w:rPr>
    </w:lvl>
    <w:lvl w:ilvl="1" w:tplc="04090003">
      <w:start w:val="1"/>
      <w:numFmt w:val="lowerLetter"/>
      <w:lvlText w:val="%2."/>
      <w:lvlJc w:val="left"/>
      <w:pPr>
        <w:tabs>
          <w:tab w:val="num" w:pos="840"/>
        </w:tabs>
        <w:ind w:left="840" w:hanging="360"/>
      </w:pPr>
    </w:lvl>
    <w:lvl w:ilvl="2" w:tplc="04090005">
      <w:start w:val="1"/>
      <w:numFmt w:val="lowerRoman"/>
      <w:lvlText w:val="%3."/>
      <w:lvlJc w:val="right"/>
      <w:pPr>
        <w:tabs>
          <w:tab w:val="num" w:pos="1560"/>
        </w:tabs>
        <w:ind w:left="1560" w:hanging="180"/>
      </w:pPr>
    </w:lvl>
    <w:lvl w:ilvl="3" w:tplc="04090001">
      <w:start w:val="1"/>
      <w:numFmt w:val="decimal"/>
      <w:lvlText w:val="%4."/>
      <w:lvlJc w:val="left"/>
      <w:pPr>
        <w:tabs>
          <w:tab w:val="num" w:pos="2280"/>
        </w:tabs>
        <w:ind w:left="2280" w:hanging="360"/>
      </w:pPr>
    </w:lvl>
    <w:lvl w:ilvl="4" w:tplc="04090003">
      <w:start w:val="1"/>
      <w:numFmt w:val="lowerLetter"/>
      <w:lvlText w:val="%5."/>
      <w:lvlJc w:val="left"/>
      <w:pPr>
        <w:tabs>
          <w:tab w:val="num" w:pos="3000"/>
        </w:tabs>
        <w:ind w:left="3000" w:hanging="360"/>
      </w:pPr>
    </w:lvl>
    <w:lvl w:ilvl="5" w:tplc="04090005">
      <w:start w:val="1"/>
      <w:numFmt w:val="lowerRoman"/>
      <w:lvlText w:val="%6."/>
      <w:lvlJc w:val="right"/>
      <w:pPr>
        <w:tabs>
          <w:tab w:val="num" w:pos="3720"/>
        </w:tabs>
        <w:ind w:left="3720" w:hanging="180"/>
      </w:pPr>
    </w:lvl>
    <w:lvl w:ilvl="6" w:tplc="04090001">
      <w:start w:val="1"/>
      <w:numFmt w:val="decimal"/>
      <w:lvlText w:val="%7."/>
      <w:lvlJc w:val="left"/>
      <w:pPr>
        <w:tabs>
          <w:tab w:val="num" w:pos="4440"/>
        </w:tabs>
        <w:ind w:left="4440" w:hanging="360"/>
      </w:pPr>
    </w:lvl>
    <w:lvl w:ilvl="7" w:tplc="04090003">
      <w:start w:val="1"/>
      <w:numFmt w:val="lowerLetter"/>
      <w:lvlText w:val="%8."/>
      <w:lvlJc w:val="left"/>
      <w:pPr>
        <w:tabs>
          <w:tab w:val="num" w:pos="5160"/>
        </w:tabs>
        <w:ind w:left="5160" w:hanging="360"/>
      </w:pPr>
    </w:lvl>
    <w:lvl w:ilvl="8" w:tplc="04090005">
      <w:start w:val="1"/>
      <w:numFmt w:val="lowerRoman"/>
      <w:lvlText w:val="%9."/>
      <w:lvlJc w:val="right"/>
      <w:pPr>
        <w:tabs>
          <w:tab w:val="num" w:pos="5880"/>
        </w:tabs>
        <w:ind w:left="5880" w:hanging="180"/>
      </w:pPr>
    </w:lvl>
  </w:abstractNum>
  <w:abstractNum w:abstractNumId="48" w15:restartNumberingAfterBreak="0">
    <w:nsid w:val="36FE77B3"/>
    <w:multiLevelType w:val="hybridMultilevel"/>
    <w:tmpl w:val="B936D4E4"/>
    <w:lvl w:ilvl="0" w:tplc="CC2428B4">
      <w:start w:val="1"/>
      <w:numFmt w:val="decimal"/>
      <w:lvlText w:val="ART. %1"/>
      <w:lvlJc w:val="left"/>
      <w:pPr>
        <w:tabs>
          <w:tab w:val="num" w:pos="360"/>
        </w:tabs>
        <w:ind w:left="360" w:hanging="360"/>
      </w:pPr>
      <w:rPr>
        <w:rFonts w:ascii="Verdana" w:hAnsi="Verdana" w:cs="Verdana" w:hint="default"/>
        <w:b/>
        <w:bCs/>
        <w:i w:val="0"/>
        <w:iCs w:val="0"/>
        <w:sz w:val="20"/>
        <w:szCs w:val="20"/>
      </w:rPr>
    </w:lvl>
    <w:lvl w:ilvl="1" w:tplc="04070019">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9" w15:restartNumberingAfterBreak="0">
    <w:nsid w:val="38DC0DA8"/>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3A883C2A"/>
    <w:multiLevelType w:val="hybridMultilevel"/>
    <w:tmpl w:val="9F10C2C8"/>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51" w15:restartNumberingAfterBreak="0">
    <w:nsid w:val="3B3231BA"/>
    <w:multiLevelType w:val="hybridMultilevel"/>
    <w:tmpl w:val="DA8CCDB6"/>
    <w:lvl w:ilvl="0" w:tplc="F7E8FFCA">
      <w:start w:val="1"/>
      <w:numFmt w:val="lowerLetter"/>
      <w:lvlText w:val="%1)"/>
      <w:lvlJc w:val="left"/>
      <w:pPr>
        <w:tabs>
          <w:tab w:val="num" w:pos="1080"/>
        </w:tabs>
        <w:ind w:left="1080" w:hanging="360"/>
      </w:pPr>
      <w:rPr>
        <w:rFonts w:ascii="Arial" w:hAnsi="Arial" w:cs="Arial" w:hint="default"/>
      </w:rPr>
    </w:lvl>
    <w:lvl w:ilvl="1" w:tplc="04070019">
      <w:start w:val="1"/>
      <w:numFmt w:val="lowerLetter"/>
      <w:lvlText w:val="%2."/>
      <w:lvlJc w:val="left"/>
      <w:pPr>
        <w:tabs>
          <w:tab w:val="num" w:pos="1203"/>
        </w:tabs>
        <w:ind w:left="1203" w:hanging="360"/>
      </w:pPr>
    </w:lvl>
    <w:lvl w:ilvl="2" w:tplc="0407001B">
      <w:start w:val="1"/>
      <w:numFmt w:val="lowerRoman"/>
      <w:lvlText w:val="%3."/>
      <w:lvlJc w:val="right"/>
      <w:pPr>
        <w:tabs>
          <w:tab w:val="num" w:pos="1923"/>
        </w:tabs>
        <w:ind w:left="1923" w:hanging="180"/>
      </w:pPr>
    </w:lvl>
    <w:lvl w:ilvl="3" w:tplc="0407000F">
      <w:start w:val="1"/>
      <w:numFmt w:val="decimal"/>
      <w:lvlText w:val="%4."/>
      <w:lvlJc w:val="left"/>
      <w:pPr>
        <w:tabs>
          <w:tab w:val="num" w:pos="2643"/>
        </w:tabs>
        <w:ind w:left="2643" w:hanging="360"/>
      </w:pPr>
    </w:lvl>
    <w:lvl w:ilvl="4" w:tplc="04070019">
      <w:start w:val="1"/>
      <w:numFmt w:val="lowerLetter"/>
      <w:lvlText w:val="%5."/>
      <w:lvlJc w:val="left"/>
      <w:pPr>
        <w:tabs>
          <w:tab w:val="num" w:pos="3363"/>
        </w:tabs>
        <w:ind w:left="3363" w:hanging="360"/>
      </w:pPr>
    </w:lvl>
    <w:lvl w:ilvl="5" w:tplc="0407001B">
      <w:start w:val="1"/>
      <w:numFmt w:val="lowerRoman"/>
      <w:lvlText w:val="%6."/>
      <w:lvlJc w:val="right"/>
      <w:pPr>
        <w:tabs>
          <w:tab w:val="num" w:pos="4083"/>
        </w:tabs>
        <w:ind w:left="4083" w:hanging="180"/>
      </w:pPr>
    </w:lvl>
    <w:lvl w:ilvl="6" w:tplc="0407000F">
      <w:start w:val="1"/>
      <w:numFmt w:val="decimal"/>
      <w:lvlText w:val="%7."/>
      <w:lvlJc w:val="left"/>
      <w:pPr>
        <w:tabs>
          <w:tab w:val="num" w:pos="4803"/>
        </w:tabs>
        <w:ind w:left="4803" w:hanging="360"/>
      </w:pPr>
    </w:lvl>
    <w:lvl w:ilvl="7" w:tplc="04070019">
      <w:start w:val="1"/>
      <w:numFmt w:val="lowerLetter"/>
      <w:lvlText w:val="%8."/>
      <w:lvlJc w:val="left"/>
      <w:pPr>
        <w:tabs>
          <w:tab w:val="num" w:pos="5523"/>
        </w:tabs>
        <w:ind w:left="5523" w:hanging="360"/>
      </w:pPr>
    </w:lvl>
    <w:lvl w:ilvl="8" w:tplc="0407001B">
      <w:start w:val="1"/>
      <w:numFmt w:val="lowerRoman"/>
      <w:lvlText w:val="%9."/>
      <w:lvlJc w:val="right"/>
      <w:pPr>
        <w:tabs>
          <w:tab w:val="num" w:pos="6243"/>
        </w:tabs>
        <w:ind w:left="6243" w:hanging="180"/>
      </w:pPr>
    </w:lvl>
  </w:abstractNum>
  <w:abstractNum w:abstractNumId="52" w15:restartNumberingAfterBreak="0">
    <w:nsid w:val="3C414E09"/>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3DA65456"/>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3E160BE5"/>
    <w:multiLevelType w:val="hybridMultilevel"/>
    <w:tmpl w:val="29D2BFAA"/>
    <w:lvl w:ilvl="0" w:tplc="BB9A7366">
      <w:start w:val="1"/>
      <w:numFmt w:val="lowerLetter"/>
      <w:lvlText w:val="%1)"/>
      <w:lvlJc w:val="left"/>
      <w:pPr>
        <w:tabs>
          <w:tab w:val="num" w:pos="717"/>
        </w:tabs>
        <w:ind w:left="717" w:hanging="360"/>
      </w:pPr>
      <w:rPr>
        <w:rFonts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Wingdings" w:hint="default"/>
      </w:rPr>
    </w:lvl>
    <w:lvl w:ilvl="3" w:tplc="0407000F">
      <w:start w:val="1"/>
      <w:numFmt w:val="bullet"/>
      <w:lvlText w:val=""/>
      <w:lvlJc w:val="left"/>
      <w:pPr>
        <w:tabs>
          <w:tab w:val="num" w:pos="2880"/>
        </w:tabs>
        <w:ind w:left="2880" w:hanging="360"/>
      </w:pPr>
      <w:rPr>
        <w:rFonts w:ascii="Symbol" w:hAnsi="Symbol" w:cs="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Wingdings" w:hint="default"/>
      </w:rPr>
    </w:lvl>
    <w:lvl w:ilvl="6" w:tplc="0407000F">
      <w:start w:val="1"/>
      <w:numFmt w:val="bullet"/>
      <w:lvlText w:val=""/>
      <w:lvlJc w:val="left"/>
      <w:pPr>
        <w:tabs>
          <w:tab w:val="num" w:pos="5040"/>
        </w:tabs>
        <w:ind w:left="5040" w:hanging="360"/>
      </w:pPr>
      <w:rPr>
        <w:rFonts w:ascii="Symbol" w:hAnsi="Symbol" w:cs="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0DA2357"/>
    <w:multiLevelType w:val="hybridMultilevel"/>
    <w:tmpl w:val="D6180FCA"/>
    <w:lvl w:ilvl="0" w:tplc="B7188318">
      <w:start w:val="1"/>
      <w:numFmt w:val="lowerLetter"/>
      <w:lvlText w:val="%1)"/>
      <w:lvlJc w:val="left"/>
      <w:pPr>
        <w:tabs>
          <w:tab w:val="num" w:pos="717"/>
        </w:tabs>
        <w:ind w:left="717" w:hanging="360"/>
      </w:pPr>
      <w:rPr>
        <w:rFonts w:ascii="Arial" w:hAnsi="Arial" w:cs="Arial" w:hint="default"/>
      </w:rPr>
    </w:lvl>
    <w:lvl w:ilvl="1" w:tplc="04070003">
      <w:start w:val="1"/>
      <w:numFmt w:val="lowerLetter"/>
      <w:lvlText w:val="%2."/>
      <w:lvlJc w:val="left"/>
      <w:pPr>
        <w:tabs>
          <w:tab w:val="num" w:pos="840"/>
        </w:tabs>
        <w:ind w:left="840" w:hanging="360"/>
      </w:pPr>
    </w:lvl>
    <w:lvl w:ilvl="2" w:tplc="04070005">
      <w:start w:val="1"/>
      <w:numFmt w:val="lowerRoman"/>
      <w:lvlText w:val="%3."/>
      <w:lvlJc w:val="right"/>
      <w:pPr>
        <w:tabs>
          <w:tab w:val="num" w:pos="1560"/>
        </w:tabs>
        <w:ind w:left="1560" w:hanging="180"/>
      </w:pPr>
    </w:lvl>
    <w:lvl w:ilvl="3" w:tplc="04070001">
      <w:start w:val="1"/>
      <w:numFmt w:val="decimal"/>
      <w:lvlText w:val="%4."/>
      <w:lvlJc w:val="left"/>
      <w:pPr>
        <w:tabs>
          <w:tab w:val="num" w:pos="2280"/>
        </w:tabs>
        <w:ind w:left="2280" w:hanging="360"/>
      </w:pPr>
    </w:lvl>
    <w:lvl w:ilvl="4" w:tplc="04070003">
      <w:start w:val="1"/>
      <w:numFmt w:val="lowerLetter"/>
      <w:lvlText w:val="%5."/>
      <w:lvlJc w:val="left"/>
      <w:pPr>
        <w:tabs>
          <w:tab w:val="num" w:pos="3000"/>
        </w:tabs>
        <w:ind w:left="3000" w:hanging="360"/>
      </w:pPr>
    </w:lvl>
    <w:lvl w:ilvl="5" w:tplc="04070005">
      <w:start w:val="1"/>
      <w:numFmt w:val="lowerRoman"/>
      <w:lvlText w:val="%6."/>
      <w:lvlJc w:val="right"/>
      <w:pPr>
        <w:tabs>
          <w:tab w:val="num" w:pos="3720"/>
        </w:tabs>
        <w:ind w:left="3720" w:hanging="180"/>
      </w:pPr>
    </w:lvl>
    <w:lvl w:ilvl="6" w:tplc="04070001">
      <w:start w:val="1"/>
      <w:numFmt w:val="decimal"/>
      <w:lvlText w:val="%7."/>
      <w:lvlJc w:val="left"/>
      <w:pPr>
        <w:tabs>
          <w:tab w:val="num" w:pos="4440"/>
        </w:tabs>
        <w:ind w:left="4440" w:hanging="360"/>
      </w:pPr>
    </w:lvl>
    <w:lvl w:ilvl="7" w:tplc="04070003">
      <w:start w:val="1"/>
      <w:numFmt w:val="lowerLetter"/>
      <w:lvlText w:val="%8."/>
      <w:lvlJc w:val="left"/>
      <w:pPr>
        <w:tabs>
          <w:tab w:val="num" w:pos="5160"/>
        </w:tabs>
        <w:ind w:left="5160" w:hanging="360"/>
      </w:pPr>
    </w:lvl>
    <w:lvl w:ilvl="8" w:tplc="04070005">
      <w:start w:val="1"/>
      <w:numFmt w:val="lowerRoman"/>
      <w:lvlText w:val="%9."/>
      <w:lvlJc w:val="right"/>
      <w:pPr>
        <w:tabs>
          <w:tab w:val="num" w:pos="5880"/>
        </w:tabs>
        <w:ind w:left="5880" w:hanging="180"/>
      </w:pPr>
    </w:lvl>
  </w:abstractNum>
  <w:abstractNum w:abstractNumId="56" w15:restartNumberingAfterBreak="0">
    <w:nsid w:val="46AE3AB1"/>
    <w:multiLevelType w:val="hybridMultilevel"/>
    <w:tmpl w:val="B384789C"/>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57" w15:restartNumberingAfterBreak="0">
    <w:nsid w:val="4775140D"/>
    <w:multiLevelType w:val="hybridMultilevel"/>
    <w:tmpl w:val="D146259A"/>
    <w:lvl w:ilvl="0" w:tplc="AC6ADD06">
      <w:start w:val="1"/>
      <w:numFmt w:val="lowerLetter"/>
      <w:lvlText w:val="%1)"/>
      <w:lvlJc w:val="left"/>
      <w:pPr>
        <w:tabs>
          <w:tab w:val="num" w:pos="717"/>
        </w:tabs>
        <w:ind w:left="717" w:hanging="360"/>
      </w:pPr>
      <w:rPr>
        <w:rFonts w:ascii="Arial" w:hAnsi="Arial" w:cs="Arial" w:hint="default"/>
      </w:rPr>
    </w:lvl>
    <w:lvl w:ilvl="1" w:tplc="04070019">
      <w:numFmt w:val="bullet"/>
      <w:lvlText w:val="-"/>
      <w:lvlJc w:val="left"/>
      <w:pPr>
        <w:tabs>
          <w:tab w:val="num" w:pos="840"/>
        </w:tabs>
        <w:ind w:left="840" w:hanging="360"/>
      </w:pPr>
      <w:rPr>
        <w:rFonts w:ascii="Mongolian Baiti" w:eastAsia="Times New Roman" w:hAnsi="Mongolian Baiti" w:hint="default"/>
      </w:rPr>
    </w:lvl>
    <w:lvl w:ilvl="2" w:tplc="0407001B">
      <w:start w:val="1"/>
      <w:numFmt w:val="decimal"/>
      <w:lvlText w:val="%3."/>
      <w:lvlJc w:val="left"/>
      <w:pPr>
        <w:tabs>
          <w:tab w:val="num" w:pos="1740"/>
        </w:tabs>
        <w:ind w:left="1740" w:hanging="360"/>
      </w:pPr>
      <w:rPr>
        <w:rFonts w:hint="default"/>
      </w:r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58" w15:restartNumberingAfterBreak="0">
    <w:nsid w:val="47D62086"/>
    <w:multiLevelType w:val="multilevel"/>
    <w:tmpl w:val="4544B998"/>
    <w:lvl w:ilvl="0">
      <w:start w:val="1"/>
      <w:numFmt w:val="decimal"/>
      <w:lvlText w:val="4.%1."/>
      <w:lvlJc w:val="left"/>
      <w:pPr>
        <w:tabs>
          <w:tab w:val="num" w:pos="907"/>
        </w:tabs>
        <w:ind w:left="907" w:hanging="547"/>
      </w:pPr>
      <w:rPr>
        <w:rFonts w:ascii="Verdana" w:hAnsi="Verdana" w:cs="Verdana" w:hint="default"/>
        <w:strike w:val="0"/>
        <w:sz w:val="20"/>
        <w:szCs w:val="20"/>
      </w:rPr>
    </w:lvl>
    <w:lvl w:ilvl="1">
      <w:start w:val="1"/>
      <w:numFmt w:val="decimal"/>
      <w:isLgl/>
      <w:lvlText w:val="%1.%2"/>
      <w:lvlJc w:val="left"/>
      <w:pPr>
        <w:tabs>
          <w:tab w:val="num" w:pos="720"/>
        </w:tabs>
        <w:ind w:left="720" w:hanging="360"/>
      </w:pPr>
      <w:rPr>
        <w:rFonts w:hint="default"/>
        <w:b w:val="0"/>
        <w:bCs w:val="0"/>
        <w:i w:val="0"/>
        <w:iCs w:val="0"/>
        <w:sz w:val="24"/>
        <w:szCs w:val="24"/>
      </w:rPr>
    </w:lvl>
    <w:lvl w:ilvl="2">
      <w:start w:val="1"/>
      <w:numFmt w:val="decimal"/>
      <w:isLgl/>
      <w:lvlText w:val="%1.%2.%3"/>
      <w:lvlJc w:val="left"/>
      <w:pPr>
        <w:tabs>
          <w:tab w:val="num" w:pos="1080"/>
        </w:tabs>
        <w:ind w:left="1080" w:hanging="720"/>
      </w:pPr>
      <w:rPr>
        <w:rFonts w:hint="default"/>
        <w:b w:val="0"/>
        <w:bCs w:val="0"/>
        <w:i w:val="0"/>
        <w:iCs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48553951"/>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48A4018C"/>
    <w:multiLevelType w:val="hybridMultilevel"/>
    <w:tmpl w:val="272E764C"/>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1" w15:restartNumberingAfterBreak="0">
    <w:nsid w:val="48A777C5"/>
    <w:multiLevelType w:val="hybridMultilevel"/>
    <w:tmpl w:val="D278E004"/>
    <w:lvl w:ilvl="0" w:tplc="849AA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8DD0955"/>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15:restartNumberingAfterBreak="0">
    <w:nsid w:val="497F446C"/>
    <w:multiLevelType w:val="hybridMultilevel"/>
    <w:tmpl w:val="3FB8E42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4" w15:restartNumberingAfterBreak="0">
    <w:nsid w:val="498F41A5"/>
    <w:multiLevelType w:val="hybridMultilevel"/>
    <w:tmpl w:val="4B44FE6E"/>
    <w:lvl w:ilvl="0" w:tplc="04180017">
      <w:start w:val="1"/>
      <w:numFmt w:val="lowerLetter"/>
      <w:lvlText w:val="%1)"/>
      <w:lvlJc w:val="left"/>
      <w:pPr>
        <w:tabs>
          <w:tab w:val="num" w:pos="717"/>
        </w:tabs>
        <w:ind w:left="717" w:hanging="360"/>
      </w:pPr>
      <w:rPr>
        <w:rFonts w:hint="default"/>
      </w:rPr>
    </w:lvl>
    <w:lvl w:ilvl="1" w:tplc="6B18012A">
      <w:start w:val="1"/>
      <w:numFmt w:val="lowerLetter"/>
      <w:lvlText w:val="%2."/>
      <w:lvlJc w:val="left"/>
      <w:pPr>
        <w:tabs>
          <w:tab w:val="num" w:pos="840"/>
        </w:tabs>
        <w:ind w:left="840" w:hanging="360"/>
      </w:pPr>
    </w:lvl>
    <w:lvl w:ilvl="2" w:tplc="07E89956">
      <w:start w:val="1"/>
      <w:numFmt w:val="lowerRoman"/>
      <w:lvlText w:val="%3."/>
      <w:lvlJc w:val="right"/>
      <w:pPr>
        <w:tabs>
          <w:tab w:val="num" w:pos="1560"/>
        </w:tabs>
        <w:ind w:left="1560" w:hanging="180"/>
      </w:pPr>
    </w:lvl>
    <w:lvl w:ilvl="3" w:tplc="1D4400B8">
      <w:start w:val="1"/>
      <w:numFmt w:val="decimal"/>
      <w:lvlText w:val="%4."/>
      <w:lvlJc w:val="left"/>
      <w:pPr>
        <w:tabs>
          <w:tab w:val="num" w:pos="2280"/>
        </w:tabs>
        <w:ind w:left="2280" w:hanging="360"/>
      </w:pPr>
    </w:lvl>
    <w:lvl w:ilvl="4" w:tplc="F3CEB1C4">
      <w:start w:val="1"/>
      <w:numFmt w:val="lowerLetter"/>
      <w:lvlText w:val="%5."/>
      <w:lvlJc w:val="left"/>
      <w:pPr>
        <w:tabs>
          <w:tab w:val="num" w:pos="3000"/>
        </w:tabs>
        <w:ind w:left="3000" w:hanging="360"/>
      </w:pPr>
    </w:lvl>
    <w:lvl w:ilvl="5" w:tplc="1B98FA0A">
      <w:start w:val="1"/>
      <w:numFmt w:val="lowerRoman"/>
      <w:lvlText w:val="%6."/>
      <w:lvlJc w:val="right"/>
      <w:pPr>
        <w:tabs>
          <w:tab w:val="num" w:pos="3720"/>
        </w:tabs>
        <w:ind w:left="3720" w:hanging="180"/>
      </w:pPr>
    </w:lvl>
    <w:lvl w:ilvl="6" w:tplc="F01C275E">
      <w:start w:val="1"/>
      <w:numFmt w:val="decimal"/>
      <w:lvlText w:val="%7."/>
      <w:lvlJc w:val="left"/>
      <w:pPr>
        <w:tabs>
          <w:tab w:val="num" w:pos="4440"/>
        </w:tabs>
        <w:ind w:left="4440" w:hanging="360"/>
      </w:pPr>
    </w:lvl>
    <w:lvl w:ilvl="7" w:tplc="91D8AFA0">
      <w:start w:val="1"/>
      <w:numFmt w:val="lowerLetter"/>
      <w:lvlText w:val="%8."/>
      <w:lvlJc w:val="left"/>
      <w:pPr>
        <w:tabs>
          <w:tab w:val="num" w:pos="5160"/>
        </w:tabs>
        <w:ind w:left="5160" w:hanging="360"/>
      </w:pPr>
    </w:lvl>
    <w:lvl w:ilvl="8" w:tplc="178A6538">
      <w:start w:val="1"/>
      <w:numFmt w:val="lowerRoman"/>
      <w:lvlText w:val="%9."/>
      <w:lvlJc w:val="right"/>
      <w:pPr>
        <w:tabs>
          <w:tab w:val="num" w:pos="5880"/>
        </w:tabs>
        <w:ind w:left="5880" w:hanging="180"/>
      </w:pPr>
    </w:lvl>
  </w:abstractNum>
  <w:abstractNum w:abstractNumId="65" w15:restartNumberingAfterBreak="0">
    <w:nsid w:val="49BC744A"/>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4C8723FB"/>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4CA92427"/>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4DD51E9A"/>
    <w:multiLevelType w:val="hybridMultilevel"/>
    <w:tmpl w:val="7FD6AD20"/>
    <w:lvl w:ilvl="0" w:tplc="65CA77F0">
      <w:start w:val="1"/>
      <w:numFmt w:val="lowerLetter"/>
      <w:lvlText w:val="%1)"/>
      <w:lvlJc w:val="left"/>
      <w:pPr>
        <w:tabs>
          <w:tab w:val="num" w:pos="717"/>
        </w:tabs>
        <w:ind w:left="717" w:hanging="360"/>
      </w:pPr>
      <w:rPr>
        <w:rFonts w:ascii="Arial" w:hAnsi="Arial" w:cs="Arial" w:hint="default"/>
      </w:rPr>
    </w:lvl>
    <w:lvl w:ilvl="1" w:tplc="A99EB07A">
      <w:start w:val="1"/>
      <w:numFmt w:val="lowerLetter"/>
      <w:lvlText w:val="%2."/>
      <w:lvlJc w:val="left"/>
      <w:pPr>
        <w:tabs>
          <w:tab w:val="num" w:pos="1440"/>
        </w:tabs>
        <w:ind w:left="1440" w:hanging="360"/>
      </w:pPr>
    </w:lvl>
    <w:lvl w:ilvl="2" w:tplc="E190F0F8">
      <w:start w:val="1"/>
      <w:numFmt w:val="lowerRoman"/>
      <w:lvlText w:val="%3."/>
      <w:lvlJc w:val="right"/>
      <w:pPr>
        <w:tabs>
          <w:tab w:val="num" w:pos="2160"/>
        </w:tabs>
        <w:ind w:left="2160" w:hanging="180"/>
      </w:pPr>
    </w:lvl>
    <w:lvl w:ilvl="3" w:tplc="F190E73A">
      <w:start w:val="1"/>
      <w:numFmt w:val="decimal"/>
      <w:lvlText w:val="%4."/>
      <w:lvlJc w:val="left"/>
      <w:pPr>
        <w:tabs>
          <w:tab w:val="num" w:pos="2880"/>
        </w:tabs>
        <w:ind w:left="2880" w:hanging="360"/>
      </w:pPr>
    </w:lvl>
    <w:lvl w:ilvl="4" w:tplc="5C22D834">
      <w:start w:val="1"/>
      <w:numFmt w:val="lowerLetter"/>
      <w:lvlText w:val="%5."/>
      <w:lvlJc w:val="left"/>
      <w:pPr>
        <w:tabs>
          <w:tab w:val="num" w:pos="3600"/>
        </w:tabs>
        <w:ind w:left="3600" w:hanging="360"/>
      </w:pPr>
    </w:lvl>
    <w:lvl w:ilvl="5" w:tplc="CCCE882E">
      <w:start w:val="1"/>
      <w:numFmt w:val="lowerRoman"/>
      <w:lvlText w:val="%6."/>
      <w:lvlJc w:val="right"/>
      <w:pPr>
        <w:tabs>
          <w:tab w:val="num" w:pos="4320"/>
        </w:tabs>
        <w:ind w:left="4320" w:hanging="180"/>
      </w:pPr>
    </w:lvl>
    <w:lvl w:ilvl="6" w:tplc="C0089F9A">
      <w:start w:val="1"/>
      <w:numFmt w:val="decimal"/>
      <w:lvlText w:val="%7."/>
      <w:lvlJc w:val="left"/>
      <w:pPr>
        <w:tabs>
          <w:tab w:val="num" w:pos="5040"/>
        </w:tabs>
        <w:ind w:left="5040" w:hanging="360"/>
      </w:pPr>
    </w:lvl>
    <w:lvl w:ilvl="7" w:tplc="66DA4DF0">
      <w:start w:val="1"/>
      <w:numFmt w:val="lowerLetter"/>
      <w:lvlText w:val="%8."/>
      <w:lvlJc w:val="left"/>
      <w:pPr>
        <w:tabs>
          <w:tab w:val="num" w:pos="5760"/>
        </w:tabs>
        <w:ind w:left="5760" w:hanging="360"/>
      </w:pPr>
    </w:lvl>
    <w:lvl w:ilvl="8" w:tplc="7646E664">
      <w:start w:val="1"/>
      <w:numFmt w:val="lowerRoman"/>
      <w:lvlText w:val="%9."/>
      <w:lvlJc w:val="right"/>
      <w:pPr>
        <w:tabs>
          <w:tab w:val="num" w:pos="6480"/>
        </w:tabs>
        <w:ind w:left="6480" w:hanging="180"/>
      </w:pPr>
    </w:lvl>
  </w:abstractNum>
  <w:abstractNum w:abstractNumId="69" w15:restartNumberingAfterBreak="0">
    <w:nsid w:val="4EC1047D"/>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15:restartNumberingAfterBreak="0">
    <w:nsid w:val="4FD56BBF"/>
    <w:multiLevelType w:val="hybridMultilevel"/>
    <w:tmpl w:val="90F45FAE"/>
    <w:lvl w:ilvl="0" w:tplc="B1CC9618">
      <w:start w:val="1"/>
      <w:numFmt w:val="lowerLetter"/>
      <w:lvlText w:val="%1)"/>
      <w:lvlJc w:val="left"/>
      <w:pPr>
        <w:tabs>
          <w:tab w:val="num" w:pos="717"/>
        </w:tabs>
        <w:ind w:left="717" w:hanging="360"/>
      </w:pPr>
      <w:rPr>
        <w:rFonts w:ascii="Arial" w:hAnsi="Arial" w:cs="Arial" w:hint="default"/>
      </w:rPr>
    </w:lvl>
    <w:lvl w:ilvl="1" w:tplc="C11CE552">
      <w:start w:val="1"/>
      <w:numFmt w:val="lowerLetter"/>
      <w:lvlText w:val="%2."/>
      <w:lvlJc w:val="left"/>
      <w:pPr>
        <w:tabs>
          <w:tab w:val="num" w:pos="840"/>
        </w:tabs>
        <w:ind w:left="840" w:hanging="360"/>
      </w:pPr>
    </w:lvl>
    <w:lvl w:ilvl="2" w:tplc="2E76F350">
      <w:start w:val="1"/>
      <w:numFmt w:val="lowerRoman"/>
      <w:lvlText w:val="%3."/>
      <w:lvlJc w:val="right"/>
      <w:pPr>
        <w:tabs>
          <w:tab w:val="num" w:pos="1560"/>
        </w:tabs>
        <w:ind w:left="1560" w:hanging="180"/>
      </w:pPr>
    </w:lvl>
    <w:lvl w:ilvl="3" w:tplc="CCD6E61A">
      <w:start w:val="1"/>
      <w:numFmt w:val="decimal"/>
      <w:lvlText w:val="%4."/>
      <w:lvlJc w:val="left"/>
      <w:pPr>
        <w:tabs>
          <w:tab w:val="num" w:pos="2280"/>
        </w:tabs>
        <w:ind w:left="2280" w:hanging="360"/>
      </w:pPr>
    </w:lvl>
    <w:lvl w:ilvl="4" w:tplc="0F407E1C">
      <w:start w:val="1"/>
      <w:numFmt w:val="lowerLetter"/>
      <w:lvlText w:val="%5."/>
      <w:lvlJc w:val="left"/>
      <w:pPr>
        <w:tabs>
          <w:tab w:val="num" w:pos="3000"/>
        </w:tabs>
        <w:ind w:left="3000" w:hanging="360"/>
      </w:pPr>
    </w:lvl>
    <w:lvl w:ilvl="5" w:tplc="6EE0F09C">
      <w:start w:val="1"/>
      <w:numFmt w:val="lowerRoman"/>
      <w:lvlText w:val="%6."/>
      <w:lvlJc w:val="right"/>
      <w:pPr>
        <w:tabs>
          <w:tab w:val="num" w:pos="3720"/>
        </w:tabs>
        <w:ind w:left="3720" w:hanging="180"/>
      </w:pPr>
    </w:lvl>
    <w:lvl w:ilvl="6" w:tplc="2CFAEFD4">
      <w:start w:val="1"/>
      <w:numFmt w:val="decimal"/>
      <w:lvlText w:val="%7."/>
      <w:lvlJc w:val="left"/>
      <w:pPr>
        <w:tabs>
          <w:tab w:val="num" w:pos="4440"/>
        </w:tabs>
        <w:ind w:left="4440" w:hanging="360"/>
      </w:pPr>
    </w:lvl>
    <w:lvl w:ilvl="7" w:tplc="3B34BEA6">
      <w:start w:val="1"/>
      <w:numFmt w:val="lowerLetter"/>
      <w:lvlText w:val="%8."/>
      <w:lvlJc w:val="left"/>
      <w:pPr>
        <w:tabs>
          <w:tab w:val="num" w:pos="5160"/>
        </w:tabs>
        <w:ind w:left="5160" w:hanging="360"/>
      </w:pPr>
    </w:lvl>
    <w:lvl w:ilvl="8" w:tplc="8786BFD2">
      <w:start w:val="1"/>
      <w:numFmt w:val="lowerRoman"/>
      <w:lvlText w:val="%9."/>
      <w:lvlJc w:val="right"/>
      <w:pPr>
        <w:tabs>
          <w:tab w:val="num" w:pos="5880"/>
        </w:tabs>
        <w:ind w:left="5880" w:hanging="180"/>
      </w:pPr>
    </w:lvl>
  </w:abstractNum>
  <w:abstractNum w:abstractNumId="71" w15:restartNumberingAfterBreak="0">
    <w:nsid w:val="4FED7DE4"/>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2" w15:restartNumberingAfterBreak="0">
    <w:nsid w:val="53D55E74"/>
    <w:multiLevelType w:val="hybridMultilevel"/>
    <w:tmpl w:val="CC3E1D30"/>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3" w15:restartNumberingAfterBreak="0">
    <w:nsid w:val="55D05D8B"/>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57AE0153"/>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5938757C"/>
    <w:multiLevelType w:val="hybridMultilevel"/>
    <w:tmpl w:val="CA524A8A"/>
    <w:lvl w:ilvl="0" w:tplc="04090003">
      <w:start w:val="1"/>
      <w:numFmt w:val="lowerLetter"/>
      <w:lvlText w:val="%1)"/>
      <w:lvlJc w:val="left"/>
      <w:pPr>
        <w:tabs>
          <w:tab w:val="num" w:pos="717"/>
        </w:tabs>
        <w:ind w:left="717" w:hanging="360"/>
      </w:pPr>
      <w:rPr>
        <w:rFonts w:ascii="Arial" w:hAnsi="Arial" w:cs="Arial" w:hint="default"/>
      </w:rPr>
    </w:lvl>
    <w:lvl w:ilvl="1" w:tplc="04070003">
      <w:start w:val="1"/>
      <w:numFmt w:val="lowerLetter"/>
      <w:lvlText w:val="%2."/>
      <w:lvlJc w:val="left"/>
      <w:pPr>
        <w:tabs>
          <w:tab w:val="num" w:pos="840"/>
        </w:tabs>
        <w:ind w:left="840" w:hanging="360"/>
      </w:pPr>
    </w:lvl>
    <w:lvl w:ilvl="2" w:tplc="04070005">
      <w:start w:val="1"/>
      <w:numFmt w:val="lowerRoman"/>
      <w:lvlText w:val="%3."/>
      <w:lvlJc w:val="right"/>
      <w:pPr>
        <w:tabs>
          <w:tab w:val="num" w:pos="1560"/>
        </w:tabs>
        <w:ind w:left="1560" w:hanging="180"/>
      </w:pPr>
    </w:lvl>
    <w:lvl w:ilvl="3" w:tplc="04070001">
      <w:start w:val="1"/>
      <w:numFmt w:val="decimal"/>
      <w:lvlText w:val="%4."/>
      <w:lvlJc w:val="left"/>
      <w:pPr>
        <w:tabs>
          <w:tab w:val="num" w:pos="2280"/>
        </w:tabs>
        <w:ind w:left="2280" w:hanging="360"/>
      </w:pPr>
    </w:lvl>
    <w:lvl w:ilvl="4" w:tplc="04070003">
      <w:start w:val="1"/>
      <w:numFmt w:val="lowerLetter"/>
      <w:lvlText w:val="%5."/>
      <w:lvlJc w:val="left"/>
      <w:pPr>
        <w:tabs>
          <w:tab w:val="num" w:pos="3000"/>
        </w:tabs>
        <w:ind w:left="3000" w:hanging="360"/>
      </w:pPr>
    </w:lvl>
    <w:lvl w:ilvl="5" w:tplc="04070005">
      <w:start w:val="1"/>
      <w:numFmt w:val="lowerRoman"/>
      <w:lvlText w:val="%6."/>
      <w:lvlJc w:val="right"/>
      <w:pPr>
        <w:tabs>
          <w:tab w:val="num" w:pos="3720"/>
        </w:tabs>
        <w:ind w:left="3720" w:hanging="180"/>
      </w:pPr>
    </w:lvl>
    <w:lvl w:ilvl="6" w:tplc="04070001">
      <w:start w:val="1"/>
      <w:numFmt w:val="decimal"/>
      <w:lvlText w:val="%7."/>
      <w:lvlJc w:val="left"/>
      <w:pPr>
        <w:tabs>
          <w:tab w:val="num" w:pos="4440"/>
        </w:tabs>
        <w:ind w:left="4440" w:hanging="360"/>
      </w:pPr>
    </w:lvl>
    <w:lvl w:ilvl="7" w:tplc="04070003">
      <w:start w:val="1"/>
      <w:numFmt w:val="lowerLetter"/>
      <w:lvlText w:val="%8."/>
      <w:lvlJc w:val="left"/>
      <w:pPr>
        <w:tabs>
          <w:tab w:val="num" w:pos="5160"/>
        </w:tabs>
        <w:ind w:left="5160" w:hanging="360"/>
      </w:pPr>
    </w:lvl>
    <w:lvl w:ilvl="8" w:tplc="04070005">
      <w:start w:val="1"/>
      <w:numFmt w:val="lowerRoman"/>
      <w:lvlText w:val="%9."/>
      <w:lvlJc w:val="right"/>
      <w:pPr>
        <w:tabs>
          <w:tab w:val="num" w:pos="5880"/>
        </w:tabs>
        <w:ind w:left="5880" w:hanging="180"/>
      </w:pPr>
    </w:lvl>
  </w:abstractNum>
  <w:abstractNum w:abstractNumId="76" w15:restartNumberingAfterBreak="0">
    <w:nsid w:val="59BB2BA1"/>
    <w:multiLevelType w:val="hybridMultilevel"/>
    <w:tmpl w:val="146E12C4"/>
    <w:lvl w:ilvl="0" w:tplc="F7E8FFCA">
      <w:numFmt w:val="bullet"/>
      <w:lvlText w:val="-"/>
      <w:lvlJc w:val="left"/>
      <w:pPr>
        <w:tabs>
          <w:tab w:val="num" w:pos="1080"/>
        </w:tabs>
        <w:ind w:left="1080" w:hanging="360"/>
      </w:pPr>
      <w:rPr>
        <w:rFonts w:ascii="Mongolian Baiti" w:eastAsia="Times New Roman" w:hAnsi="Mongolian Baiti" w:hint="default"/>
        <w:caps w:val="0"/>
        <w:strike w:val="0"/>
        <w:dstrike w:val="0"/>
        <w:vanish w:val="0"/>
        <w:color w:val="auto"/>
        <w:vertAlign w:val="baseline"/>
      </w:rPr>
    </w:lvl>
    <w:lvl w:ilvl="1" w:tplc="04070019">
      <w:start w:val="1"/>
      <w:numFmt w:val="bullet"/>
      <w:lvlText w:val="o"/>
      <w:lvlJc w:val="left"/>
      <w:pPr>
        <w:tabs>
          <w:tab w:val="num" w:pos="2160"/>
        </w:tabs>
        <w:ind w:left="2160" w:hanging="360"/>
      </w:pPr>
      <w:rPr>
        <w:rFonts w:ascii="Courier New" w:hAnsi="Courier New" w:cs="Courier New" w:hint="default"/>
      </w:rPr>
    </w:lvl>
    <w:lvl w:ilvl="2" w:tplc="0407001B">
      <w:start w:val="1"/>
      <w:numFmt w:val="bullet"/>
      <w:lvlText w:val=""/>
      <w:lvlJc w:val="left"/>
      <w:pPr>
        <w:tabs>
          <w:tab w:val="num" w:pos="2880"/>
        </w:tabs>
        <w:ind w:left="2880" w:hanging="360"/>
      </w:pPr>
      <w:rPr>
        <w:rFonts w:ascii="Wingdings" w:hAnsi="Wingdings" w:cs="Wingdings" w:hint="default"/>
      </w:rPr>
    </w:lvl>
    <w:lvl w:ilvl="3" w:tplc="0407000F">
      <w:start w:val="1"/>
      <w:numFmt w:val="bullet"/>
      <w:lvlText w:val=""/>
      <w:lvlJc w:val="left"/>
      <w:pPr>
        <w:tabs>
          <w:tab w:val="num" w:pos="3600"/>
        </w:tabs>
        <w:ind w:left="3600" w:hanging="360"/>
      </w:pPr>
      <w:rPr>
        <w:rFonts w:ascii="Symbol" w:hAnsi="Symbol" w:cs="Symbol" w:hint="default"/>
      </w:rPr>
    </w:lvl>
    <w:lvl w:ilvl="4" w:tplc="04070019">
      <w:start w:val="1"/>
      <w:numFmt w:val="bullet"/>
      <w:lvlText w:val="o"/>
      <w:lvlJc w:val="left"/>
      <w:pPr>
        <w:tabs>
          <w:tab w:val="num" w:pos="4320"/>
        </w:tabs>
        <w:ind w:left="4320" w:hanging="360"/>
      </w:pPr>
      <w:rPr>
        <w:rFonts w:ascii="Courier New" w:hAnsi="Courier New" w:cs="Courier New" w:hint="default"/>
      </w:rPr>
    </w:lvl>
    <w:lvl w:ilvl="5" w:tplc="0407001B">
      <w:start w:val="1"/>
      <w:numFmt w:val="bullet"/>
      <w:lvlText w:val=""/>
      <w:lvlJc w:val="left"/>
      <w:pPr>
        <w:tabs>
          <w:tab w:val="num" w:pos="5040"/>
        </w:tabs>
        <w:ind w:left="5040" w:hanging="360"/>
      </w:pPr>
      <w:rPr>
        <w:rFonts w:ascii="Wingdings" w:hAnsi="Wingdings" w:cs="Wingdings" w:hint="default"/>
      </w:rPr>
    </w:lvl>
    <w:lvl w:ilvl="6" w:tplc="0407000F">
      <w:start w:val="1"/>
      <w:numFmt w:val="bullet"/>
      <w:lvlText w:val=""/>
      <w:lvlJc w:val="left"/>
      <w:pPr>
        <w:tabs>
          <w:tab w:val="num" w:pos="5760"/>
        </w:tabs>
        <w:ind w:left="5760" w:hanging="360"/>
      </w:pPr>
      <w:rPr>
        <w:rFonts w:ascii="Symbol" w:hAnsi="Symbol" w:cs="Symbol" w:hint="default"/>
      </w:rPr>
    </w:lvl>
    <w:lvl w:ilvl="7" w:tplc="04070019">
      <w:start w:val="1"/>
      <w:numFmt w:val="bullet"/>
      <w:lvlText w:val="o"/>
      <w:lvlJc w:val="left"/>
      <w:pPr>
        <w:tabs>
          <w:tab w:val="num" w:pos="6480"/>
        </w:tabs>
        <w:ind w:left="6480" w:hanging="360"/>
      </w:pPr>
      <w:rPr>
        <w:rFonts w:ascii="Courier New" w:hAnsi="Courier New" w:cs="Courier New" w:hint="default"/>
      </w:rPr>
    </w:lvl>
    <w:lvl w:ilvl="8" w:tplc="0407001B">
      <w:start w:val="1"/>
      <w:numFmt w:val="bullet"/>
      <w:lvlText w:val=""/>
      <w:lvlJc w:val="left"/>
      <w:pPr>
        <w:tabs>
          <w:tab w:val="num" w:pos="7200"/>
        </w:tabs>
        <w:ind w:left="7200" w:hanging="360"/>
      </w:pPr>
      <w:rPr>
        <w:rFonts w:ascii="Wingdings" w:hAnsi="Wingdings" w:cs="Wingdings" w:hint="default"/>
      </w:rPr>
    </w:lvl>
  </w:abstractNum>
  <w:abstractNum w:abstractNumId="77" w15:restartNumberingAfterBreak="0">
    <w:nsid w:val="5CF90207"/>
    <w:multiLevelType w:val="hybridMultilevel"/>
    <w:tmpl w:val="00E49BAC"/>
    <w:lvl w:ilvl="0" w:tplc="C750007C">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1077"/>
        </w:tabs>
        <w:ind w:left="1077" w:hanging="360"/>
      </w:pPr>
    </w:lvl>
    <w:lvl w:ilvl="2" w:tplc="0407001B">
      <w:start w:val="1"/>
      <w:numFmt w:val="lowerRoman"/>
      <w:lvlText w:val="%3."/>
      <w:lvlJc w:val="right"/>
      <w:pPr>
        <w:tabs>
          <w:tab w:val="num" w:pos="1797"/>
        </w:tabs>
        <w:ind w:left="1797" w:hanging="180"/>
      </w:pPr>
    </w:lvl>
    <w:lvl w:ilvl="3" w:tplc="0407000F">
      <w:start w:val="1"/>
      <w:numFmt w:val="decimal"/>
      <w:lvlText w:val="%4."/>
      <w:lvlJc w:val="left"/>
      <w:pPr>
        <w:tabs>
          <w:tab w:val="num" w:pos="2517"/>
        </w:tabs>
        <w:ind w:left="2517" w:hanging="360"/>
      </w:pPr>
    </w:lvl>
    <w:lvl w:ilvl="4" w:tplc="04070019">
      <w:start w:val="1"/>
      <w:numFmt w:val="lowerLetter"/>
      <w:lvlText w:val="%5."/>
      <w:lvlJc w:val="left"/>
      <w:pPr>
        <w:tabs>
          <w:tab w:val="num" w:pos="3237"/>
        </w:tabs>
        <w:ind w:left="3237" w:hanging="360"/>
      </w:pPr>
    </w:lvl>
    <w:lvl w:ilvl="5" w:tplc="0407001B">
      <w:start w:val="1"/>
      <w:numFmt w:val="lowerRoman"/>
      <w:lvlText w:val="%6."/>
      <w:lvlJc w:val="right"/>
      <w:pPr>
        <w:tabs>
          <w:tab w:val="num" w:pos="3957"/>
        </w:tabs>
        <w:ind w:left="3957" w:hanging="180"/>
      </w:pPr>
    </w:lvl>
    <w:lvl w:ilvl="6" w:tplc="0407000F">
      <w:start w:val="1"/>
      <w:numFmt w:val="decimal"/>
      <w:lvlText w:val="%7."/>
      <w:lvlJc w:val="left"/>
      <w:pPr>
        <w:tabs>
          <w:tab w:val="num" w:pos="4677"/>
        </w:tabs>
        <w:ind w:left="4677" w:hanging="360"/>
      </w:pPr>
    </w:lvl>
    <w:lvl w:ilvl="7" w:tplc="04070019">
      <w:start w:val="1"/>
      <w:numFmt w:val="lowerLetter"/>
      <w:lvlText w:val="%8."/>
      <w:lvlJc w:val="left"/>
      <w:pPr>
        <w:tabs>
          <w:tab w:val="num" w:pos="5397"/>
        </w:tabs>
        <w:ind w:left="5397" w:hanging="360"/>
      </w:pPr>
    </w:lvl>
    <w:lvl w:ilvl="8" w:tplc="0407001B">
      <w:start w:val="1"/>
      <w:numFmt w:val="lowerRoman"/>
      <w:lvlText w:val="%9."/>
      <w:lvlJc w:val="right"/>
      <w:pPr>
        <w:tabs>
          <w:tab w:val="num" w:pos="6117"/>
        </w:tabs>
        <w:ind w:left="6117" w:hanging="180"/>
      </w:pPr>
    </w:lvl>
  </w:abstractNum>
  <w:abstractNum w:abstractNumId="78" w15:restartNumberingAfterBreak="0">
    <w:nsid w:val="5F0B6D52"/>
    <w:multiLevelType w:val="hybridMultilevel"/>
    <w:tmpl w:val="64CE9960"/>
    <w:lvl w:ilvl="0" w:tplc="FAF426EE">
      <w:start w:val="1"/>
      <w:numFmt w:val="bullet"/>
      <w:lvlText w:val=""/>
      <w:lvlJc w:val="left"/>
      <w:pPr>
        <w:tabs>
          <w:tab w:val="num" w:pos="720"/>
        </w:tabs>
        <w:ind w:left="720" w:hanging="360"/>
      </w:pPr>
      <w:rPr>
        <w:rFonts w:ascii="Symbol" w:hAnsi="Symbol" w:cs="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Wingdings" w:hint="default"/>
      </w:rPr>
    </w:lvl>
    <w:lvl w:ilvl="3" w:tplc="0407000F">
      <w:start w:val="1"/>
      <w:numFmt w:val="bullet"/>
      <w:lvlText w:val=""/>
      <w:lvlJc w:val="left"/>
      <w:pPr>
        <w:tabs>
          <w:tab w:val="num" w:pos="2880"/>
        </w:tabs>
        <w:ind w:left="2880" w:hanging="360"/>
      </w:pPr>
      <w:rPr>
        <w:rFonts w:ascii="Symbol" w:hAnsi="Symbol" w:cs="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Wingdings" w:hint="default"/>
      </w:rPr>
    </w:lvl>
    <w:lvl w:ilvl="6" w:tplc="0407000F">
      <w:start w:val="1"/>
      <w:numFmt w:val="bullet"/>
      <w:lvlText w:val=""/>
      <w:lvlJc w:val="left"/>
      <w:pPr>
        <w:tabs>
          <w:tab w:val="num" w:pos="5040"/>
        </w:tabs>
        <w:ind w:left="5040" w:hanging="360"/>
      </w:pPr>
      <w:rPr>
        <w:rFonts w:ascii="Symbol" w:hAnsi="Symbol" w:cs="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04D2496"/>
    <w:multiLevelType w:val="hybridMultilevel"/>
    <w:tmpl w:val="AB380354"/>
    <w:lvl w:ilvl="0" w:tplc="04090001">
      <w:start w:val="1"/>
      <w:numFmt w:val="lowerLetter"/>
      <w:lvlText w:val="%1)"/>
      <w:lvlJc w:val="left"/>
      <w:pPr>
        <w:tabs>
          <w:tab w:val="num" w:pos="717"/>
        </w:tabs>
        <w:ind w:left="717" w:hanging="360"/>
      </w:pPr>
      <w:rPr>
        <w:rFonts w:ascii="Arial" w:hAnsi="Arial" w:cs="Arial" w:hint="default"/>
      </w:rPr>
    </w:lvl>
    <w:lvl w:ilvl="1" w:tplc="04090003">
      <w:start w:val="1"/>
      <w:numFmt w:val="lowerLetter"/>
      <w:lvlText w:val="%2."/>
      <w:lvlJc w:val="left"/>
      <w:pPr>
        <w:tabs>
          <w:tab w:val="num" w:pos="840"/>
        </w:tabs>
        <w:ind w:left="840" w:hanging="360"/>
      </w:pPr>
    </w:lvl>
    <w:lvl w:ilvl="2" w:tplc="04090005">
      <w:start w:val="1"/>
      <w:numFmt w:val="lowerRoman"/>
      <w:lvlText w:val="%3."/>
      <w:lvlJc w:val="right"/>
      <w:pPr>
        <w:tabs>
          <w:tab w:val="num" w:pos="1560"/>
        </w:tabs>
        <w:ind w:left="1560" w:hanging="180"/>
      </w:pPr>
    </w:lvl>
    <w:lvl w:ilvl="3" w:tplc="04090001">
      <w:start w:val="1"/>
      <w:numFmt w:val="decimal"/>
      <w:lvlText w:val="%4."/>
      <w:lvlJc w:val="left"/>
      <w:pPr>
        <w:tabs>
          <w:tab w:val="num" w:pos="2280"/>
        </w:tabs>
        <w:ind w:left="2280" w:hanging="360"/>
      </w:pPr>
    </w:lvl>
    <w:lvl w:ilvl="4" w:tplc="04090003">
      <w:start w:val="1"/>
      <w:numFmt w:val="lowerLetter"/>
      <w:lvlText w:val="%5."/>
      <w:lvlJc w:val="left"/>
      <w:pPr>
        <w:tabs>
          <w:tab w:val="num" w:pos="3000"/>
        </w:tabs>
        <w:ind w:left="3000" w:hanging="360"/>
      </w:pPr>
    </w:lvl>
    <w:lvl w:ilvl="5" w:tplc="04090005">
      <w:start w:val="1"/>
      <w:numFmt w:val="lowerRoman"/>
      <w:lvlText w:val="%6."/>
      <w:lvlJc w:val="right"/>
      <w:pPr>
        <w:tabs>
          <w:tab w:val="num" w:pos="3720"/>
        </w:tabs>
        <w:ind w:left="3720" w:hanging="180"/>
      </w:pPr>
    </w:lvl>
    <w:lvl w:ilvl="6" w:tplc="04090001">
      <w:start w:val="1"/>
      <w:numFmt w:val="decimal"/>
      <w:lvlText w:val="%7."/>
      <w:lvlJc w:val="left"/>
      <w:pPr>
        <w:tabs>
          <w:tab w:val="num" w:pos="4440"/>
        </w:tabs>
        <w:ind w:left="4440" w:hanging="360"/>
      </w:pPr>
    </w:lvl>
    <w:lvl w:ilvl="7" w:tplc="04090003">
      <w:start w:val="1"/>
      <w:numFmt w:val="lowerLetter"/>
      <w:lvlText w:val="%8."/>
      <w:lvlJc w:val="left"/>
      <w:pPr>
        <w:tabs>
          <w:tab w:val="num" w:pos="5160"/>
        </w:tabs>
        <w:ind w:left="5160" w:hanging="360"/>
      </w:pPr>
    </w:lvl>
    <w:lvl w:ilvl="8" w:tplc="04090005">
      <w:start w:val="1"/>
      <w:numFmt w:val="lowerRoman"/>
      <w:lvlText w:val="%9."/>
      <w:lvlJc w:val="right"/>
      <w:pPr>
        <w:tabs>
          <w:tab w:val="num" w:pos="5880"/>
        </w:tabs>
        <w:ind w:left="5880" w:hanging="180"/>
      </w:pPr>
    </w:lvl>
  </w:abstractNum>
  <w:abstractNum w:abstractNumId="80" w15:restartNumberingAfterBreak="0">
    <w:nsid w:val="624E259E"/>
    <w:multiLevelType w:val="hybridMultilevel"/>
    <w:tmpl w:val="924AA2F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1" w15:restartNumberingAfterBreak="0">
    <w:nsid w:val="65651E40"/>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68D2067A"/>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69163B3F"/>
    <w:multiLevelType w:val="hybridMultilevel"/>
    <w:tmpl w:val="5B94AE22"/>
    <w:lvl w:ilvl="0" w:tplc="B7188318">
      <w:numFmt w:val="bullet"/>
      <w:lvlText w:val="-"/>
      <w:lvlJc w:val="left"/>
      <w:pPr>
        <w:tabs>
          <w:tab w:val="num" w:pos="1077"/>
        </w:tabs>
        <w:ind w:left="1077" w:hanging="360"/>
      </w:pPr>
      <w:rPr>
        <w:rFonts w:ascii="Mongolian Baiti" w:eastAsia="Times New Roman" w:hAnsi="Mongolian Baiti" w:hint="default"/>
      </w:rPr>
    </w:lvl>
    <w:lvl w:ilvl="1" w:tplc="04090019">
      <w:numFmt w:val="bullet"/>
      <w:lvlText w:val="-"/>
      <w:lvlJc w:val="left"/>
      <w:pPr>
        <w:tabs>
          <w:tab w:val="num" w:pos="1200"/>
        </w:tabs>
        <w:ind w:left="1200" w:hanging="360"/>
      </w:pPr>
      <w:rPr>
        <w:rFonts w:ascii="Mongolian Baiti" w:eastAsia="Times New Roman" w:hAnsi="Mongolian Baiti" w:hint="default"/>
      </w:rPr>
    </w:lvl>
    <w:lvl w:ilvl="2" w:tplc="0409001B">
      <w:start w:val="1"/>
      <w:numFmt w:val="decimal"/>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4" w15:restartNumberingAfterBreak="0">
    <w:nsid w:val="694D6DAF"/>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69E71944"/>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6" w15:restartNumberingAfterBreak="0">
    <w:nsid w:val="6A4821FD"/>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6CB70082"/>
    <w:multiLevelType w:val="hybridMultilevel"/>
    <w:tmpl w:val="550C0354"/>
    <w:lvl w:ilvl="0" w:tplc="C38C6458">
      <w:start w:val="61"/>
      <w:numFmt w:val="decimal"/>
      <w:lvlText w:val="ART. %1"/>
      <w:lvlJc w:val="left"/>
      <w:pPr>
        <w:tabs>
          <w:tab w:val="num" w:pos="360"/>
        </w:tabs>
        <w:ind w:left="360" w:hanging="360"/>
      </w:pPr>
      <w:rPr>
        <w:rFonts w:ascii="Verdana" w:hAnsi="Verdana" w:cs="Verdana" w:hint="default"/>
        <w:b/>
        <w:bCs/>
        <w:i w:val="0"/>
        <w:iCs w:val="0"/>
        <w:sz w:val="20"/>
        <w:szCs w:val="20"/>
      </w:rPr>
    </w:lvl>
    <w:lvl w:ilvl="1" w:tplc="04180017">
      <w:start w:val="1"/>
      <w:numFmt w:val="lowerLetter"/>
      <w:lvlText w:val="%2)"/>
      <w:lvlJc w:val="left"/>
      <w:pPr>
        <w:ind w:left="135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6CEC6AE7"/>
    <w:multiLevelType w:val="hybridMultilevel"/>
    <w:tmpl w:val="9DB83A80"/>
    <w:lvl w:ilvl="0" w:tplc="776AB1A4">
      <w:start w:val="1"/>
      <w:numFmt w:val="decimal"/>
      <w:lvlText w:val="(%1)"/>
      <w:lvlJc w:val="left"/>
      <w:pPr>
        <w:ind w:left="360" w:hanging="360"/>
      </w:pPr>
      <w:rPr>
        <w:rFonts w:hint="default"/>
        <w:b w:val="0"/>
        <w:bCs w:val="0"/>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89" w15:restartNumberingAfterBreak="0">
    <w:nsid w:val="6EA4569D"/>
    <w:multiLevelType w:val="hybridMultilevel"/>
    <w:tmpl w:val="20408666"/>
    <w:lvl w:ilvl="0" w:tplc="F620C88E">
      <w:start w:val="1"/>
      <w:numFmt w:val="bullet"/>
      <w:lvlText w:val="-"/>
      <w:lvlJc w:val="left"/>
      <w:pPr>
        <w:tabs>
          <w:tab w:val="num" w:pos="1077"/>
        </w:tabs>
        <w:ind w:left="1077" w:hanging="360"/>
      </w:pPr>
      <w:rPr>
        <w:rFonts w:ascii="Tunga" w:eastAsia="Times New Roman" w:hAnsi="Tunga" w:hint="default"/>
      </w:rPr>
    </w:lvl>
    <w:lvl w:ilvl="1" w:tplc="04090019">
      <w:start w:val="1"/>
      <w:numFmt w:val="bullet"/>
      <w:lvlText w:val="o"/>
      <w:lvlJc w:val="left"/>
      <w:pPr>
        <w:tabs>
          <w:tab w:val="num" w:pos="2157"/>
        </w:tabs>
        <w:ind w:left="2157" w:hanging="360"/>
      </w:pPr>
      <w:rPr>
        <w:rFonts w:ascii="Courier New" w:hAnsi="Courier New" w:cs="Courier New" w:hint="default"/>
      </w:rPr>
    </w:lvl>
    <w:lvl w:ilvl="2" w:tplc="0409001B">
      <w:start w:val="1"/>
      <w:numFmt w:val="bullet"/>
      <w:lvlText w:val=""/>
      <w:lvlJc w:val="left"/>
      <w:pPr>
        <w:tabs>
          <w:tab w:val="num" w:pos="2877"/>
        </w:tabs>
        <w:ind w:left="2877" w:hanging="360"/>
      </w:pPr>
      <w:rPr>
        <w:rFonts w:ascii="Wingdings" w:hAnsi="Wingdings" w:cs="Wingdings" w:hint="default"/>
      </w:rPr>
    </w:lvl>
    <w:lvl w:ilvl="3" w:tplc="0409000F">
      <w:start w:val="1"/>
      <w:numFmt w:val="bullet"/>
      <w:lvlText w:val=""/>
      <w:lvlJc w:val="left"/>
      <w:pPr>
        <w:tabs>
          <w:tab w:val="num" w:pos="3597"/>
        </w:tabs>
        <w:ind w:left="3597" w:hanging="360"/>
      </w:pPr>
      <w:rPr>
        <w:rFonts w:ascii="Symbol" w:hAnsi="Symbol" w:cs="Symbol" w:hint="default"/>
      </w:rPr>
    </w:lvl>
    <w:lvl w:ilvl="4" w:tplc="04090019">
      <w:start w:val="1"/>
      <w:numFmt w:val="bullet"/>
      <w:lvlText w:val="o"/>
      <w:lvlJc w:val="left"/>
      <w:pPr>
        <w:tabs>
          <w:tab w:val="num" w:pos="4317"/>
        </w:tabs>
        <w:ind w:left="4317" w:hanging="360"/>
      </w:pPr>
      <w:rPr>
        <w:rFonts w:ascii="Courier New" w:hAnsi="Courier New" w:cs="Courier New" w:hint="default"/>
      </w:rPr>
    </w:lvl>
    <w:lvl w:ilvl="5" w:tplc="0409001B">
      <w:start w:val="1"/>
      <w:numFmt w:val="bullet"/>
      <w:lvlText w:val=""/>
      <w:lvlJc w:val="left"/>
      <w:pPr>
        <w:tabs>
          <w:tab w:val="num" w:pos="5037"/>
        </w:tabs>
        <w:ind w:left="5037" w:hanging="360"/>
      </w:pPr>
      <w:rPr>
        <w:rFonts w:ascii="Wingdings" w:hAnsi="Wingdings" w:cs="Wingdings" w:hint="default"/>
      </w:rPr>
    </w:lvl>
    <w:lvl w:ilvl="6" w:tplc="0409000F">
      <w:start w:val="1"/>
      <w:numFmt w:val="bullet"/>
      <w:lvlText w:val=""/>
      <w:lvlJc w:val="left"/>
      <w:pPr>
        <w:tabs>
          <w:tab w:val="num" w:pos="5757"/>
        </w:tabs>
        <w:ind w:left="5757" w:hanging="360"/>
      </w:pPr>
      <w:rPr>
        <w:rFonts w:ascii="Symbol" w:hAnsi="Symbol" w:cs="Symbol" w:hint="default"/>
      </w:rPr>
    </w:lvl>
    <w:lvl w:ilvl="7" w:tplc="04090019">
      <w:start w:val="1"/>
      <w:numFmt w:val="bullet"/>
      <w:lvlText w:val="o"/>
      <w:lvlJc w:val="left"/>
      <w:pPr>
        <w:tabs>
          <w:tab w:val="num" w:pos="6477"/>
        </w:tabs>
        <w:ind w:left="6477" w:hanging="360"/>
      </w:pPr>
      <w:rPr>
        <w:rFonts w:ascii="Courier New" w:hAnsi="Courier New" w:cs="Courier New" w:hint="default"/>
      </w:rPr>
    </w:lvl>
    <w:lvl w:ilvl="8" w:tplc="0409001B">
      <w:start w:val="1"/>
      <w:numFmt w:val="bullet"/>
      <w:lvlText w:val=""/>
      <w:lvlJc w:val="left"/>
      <w:pPr>
        <w:tabs>
          <w:tab w:val="num" w:pos="7197"/>
        </w:tabs>
        <w:ind w:left="7197" w:hanging="360"/>
      </w:pPr>
      <w:rPr>
        <w:rFonts w:ascii="Wingdings" w:hAnsi="Wingdings" w:cs="Wingdings" w:hint="default"/>
      </w:rPr>
    </w:lvl>
  </w:abstractNum>
  <w:abstractNum w:abstractNumId="90" w15:restartNumberingAfterBreak="0">
    <w:nsid w:val="6F1960D9"/>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1" w15:restartNumberingAfterBreak="0">
    <w:nsid w:val="7053025D"/>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15:restartNumberingAfterBreak="0">
    <w:nsid w:val="71CC6A92"/>
    <w:multiLevelType w:val="hybridMultilevel"/>
    <w:tmpl w:val="DECE0F82"/>
    <w:lvl w:ilvl="0" w:tplc="FB8CE6AA">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3" w15:restartNumberingAfterBreak="0">
    <w:nsid w:val="721B3A56"/>
    <w:multiLevelType w:val="hybridMultilevel"/>
    <w:tmpl w:val="714AC7A2"/>
    <w:lvl w:ilvl="0" w:tplc="08090017">
      <w:start w:val="1"/>
      <w:numFmt w:val="lowerLetter"/>
      <w:lvlText w:val="%1)"/>
      <w:lvlJc w:val="left"/>
      <w:pPr>
        <w:ind w:left="720" w:hanging="360"/>
      </w:pPr>
    </w:lvl>
    <w:lvl w:ilvl="1" w:tplc="0418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74442B32"/>
    <w:multiLevelType w:val="hybridMultilevel"/>
    <w:tmpl w:val="AEDA9306"/>
    <w:lvl w:ilvl="0" w:tplc="F7E8FFCA">
      <w:start w:val="1"/>
      <w:numFmt w:val="bullet"/>
      <w:lvlText w:val=""/>
      <w:lvlJc w:val="left"/>
      <w:pPr>
        <w:tabs>
          <w:tab w:val="num" w:pos="720"/>
        </w:tabs>
        <w:ind w:left="720" w:hanging="360"/>
      </w:pPr>
      <w:rPr>
        <w:rFonts w:ascii="Symbol" w:hAnsi="Symbol" w:cs="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Wingdings" w:hint="default"/>
      </w:rPr>
    </w:lvl>
    <w:lvl w:ilvl="3" w:tplc="0407000F">
      <w:start w:val="1"/>
      <w:numFmt w:val="bullet"/>
      <w:lvlText w:val=""/>
      <w:lvlJc w:val="left"/>
      <w:pPr>
        <w:tabs>
          <w:tab w:val="num" w:pos="2880"/>
        </w:tabs>
        <w:ind w:left="2880" w:hanging="360"/>
      </w:pPr>
      <w:rPr>
        <w:rFonts w:ascii="Symbol" w:hAnsi="Symbol" w:cs="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Wingdings" w:hint="default"/>
      </w:rPr>
    </w:lvl>
    <w:lvl w:ilvl="6" w:tplc="0407000F">
      <w:start w:val="1"/>
      <w:numFmt w:val="bullet"/>
      <w:lvlText w:val=""/>
      <w:lvlJc w:val="left"/>
      <w:pPr>
        <w:tabs>
          <w:tab w:val="num" w:pos="5040"/>
        </w:tabs>
        <w:ind w:left="5040" w:hanging="360"/>
      </w:pPr>
      <w:rPr>
        <w:rFonts w:ascii="Symbol" w:hAnsi="Symbol" w:cs="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76771472"/>
    <w:multiLevelType w:val="hybridMultilevel"/>
    <w:tmpl w:val="3E5A97CA"/>
    <w:lvl w:ilvl="0" w:tplc="8646A2EE">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96" w15:restartNumberingAfterBreak="0">
    <w:nsid w:val="76B559C2"/>
    <w:multiLevelType w:val="hybridMultilevel"/>
    <w:tmpl w:val="3EE0A0E8"/>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97" w15:restartNumberingAfterBreak="0">
    <w:nsid w:val="77386633"/>
    <w:multiLevelType w:val="hybridMultilevel"/>
    <w:tmpl w:val="5DEA5DA4"/>
    <w:lvl w:ilvl="0" w:tplc="9FCCF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15:restartNumberingAfterBreak="0">
    <w:nsid w:val="77B47DAC"/>
    <w:multiLevelType w:val="hybridMultilevel"/>
    <w:tmpl w:val="D278E004"/>
    <w:lvl w:ilvl="0" w:tplc="849AA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8E13278"/>
    <w:multiLevelType w:val="hybridMultilevel"/>
    <w:tmpl w:val="D278E004"/>
    <w:lvl w:ilvl="0" w:tplc="849AA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9D827C1"/>
    <w:multiLevelType w:val="hybridMultilevel"/>
    <w:tmpl w:val="A04AB8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7A600A42"/>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2" w15:restartNumberingAfterBreak="0">
    <w:nsid w:val="7B553BE5"/>
    <w:multiLevelType w:val="hybridMultilevel"/>
    <w:tmpl w:val="02B66662"/>
    <w:lvl w:ilvl="0" w:tplc="AC6ADD06">
      <w:start w:val="1"/>
      <w:numFmt w:val="lowerLetter"/>
      <w:lvlText w:val="%1)"/>
      <w:lvlJc w:val="left"/>
      <w:pPr>
        <w:tabs>
          <w:tab w:val="num" w:pos="717"/>
        </w:tabs>
        <w:ind w:left="717" w:hanging="360"/>
      </w:pPr>
      <w:rPr>
        <w:rFonts w:ascii="Arial" w:hAnsi="Arial" w:cs="Arial" w:hint="default"/>
      </w:rPr>
    </w:lvl>
    <w:lvl w:ilvl="1" w:tplc="04070019">
      <w:start w:val="1"/>
      <w:numFmt w:val="lowerLetter"/>
      <w:lvlText w:val="%2."/>
      <w:lvlJc w:val="left"/>
      <w:pPr>
        <w:tabs>
          <w:tab w:val="num" w:pos="840"/>
        </w:tabs>
        <w:ind w:left="840" w:hanging="360"/>
      </w:pPr>
    </w:lvl>
    <w:lvl w:ilvl="2" w:tplc="0407001B">
      <w:start w:val="1"/>
      <w:numFmt w:val="lowerRoman"/>
      <w:lvlText w:val="%3."/>
      <w:lvlJc w:val="right"/>
      <w:pPr>
        <w:tabs>
          <w:tab w:val="num" w:pos="1560"/>
        </w:tabs>
        <w:ind w:left="1560" w:hanging="180"/>
      </w:pPr>
    </w:lvl>
    <w:lvl w:ilvl="3" w:tplc="0407000F">
      <w:start w:val="1"/>
      <w:numFmt w:val="decimal"/>
      <w:lvlText w:val="%4."/>
      <w:lvlJc w:val="left"/>
      <w:pPr>
        <w:tabs>
          <w:tab w:val="num" w:pos="2280"/>
        </w:tabs>
        <w:ind w:left="2280" w:hanging="360"/>
      </w:pPr>
    </w:lvl>
    <w:lvl w:ilvl="4" w:tplc="04070019">
      <w:start w:val="1"/>
      <w:numFmt w:val="lowerLetter"/>
      <w:lvlText w:val="%5."/>
      <w:lvlJc w:val="left"/>
      <w:pPr>
        <w:tabs>
          <w:tab w:val="num" w:pos="3000"/>
        </w:tabs>
        <w:ind w:left="3000" w:hanging="360"/>
      </w:pPr>
    </w:lvl>
    <w:lvl w:ilvl="5" w:tplc="0407001B">
      <w:start w:val="1"/>
      <w:numFmt w:val="lowerRoman"/>
      <w:lvlText w:val="%6."/>
      <w:lvlJc w:val="right"/>
      <w:pPr>
        <w:tabs>
          <w:tab w:val="num" w:pos="3720"/>
        </w:tabs>
        <w:ind w:left="3720" w:hanging="180"/>
      </w:pPr>
    </w:lvl>
    <w:lvl w:ilvl="6" w:tplc="0407000F">
      <w:start w:val="1"/>
      <w:numFmt w:val="decimal"/>
      <w:lvlText w:val="%7."/>
      <w:lvlJc w:val="left"/>
      <w:pPr>
        <w:tabs>
          <w:tab w:val="num" w:pos="4440"/>
        </w:tabs>
        <w:ind w:left="4440" w:hanging="360"/>
      </w:pPr>
    </w:lvl>
    <w:lvl w:ilvl="7" w:tplc="04070019">
      <w:start w:val="1"/>
      <w:numFmt w:val="lowerLetter"/>
      <w:lvlText w:val="%8."/>
      <w:lvlJc w:val="left"/>
      <w:pPr>
        <w:tabs>
          <w:tab w:val="num" w:pos="5160"/>
        </w:tabs>
        <w:ind w:left="5160" w:hanging="360"/>
      </w:pPr>
    </w:lvl>
    <w:lvl w:ilvl="8" w:tplc="0407001B">
      <w:start w:val="1"/>
      <w:numFmt w:val="lowerRoman"/>
      <w:lvlText w:val="%9."/>
      <w:lvlJc w:val="right"/>
      <w:pPr>
        <w:tabs>
          <w:tab w:val="num" w:pos="5880"/>
        </w:tabs>
        <w:ind w:left="5880" w:hanging="180"/>
      </w:pPr>
    </w:lvl>
  </w:abstractNum>
  <w:abstractNum w:abstractNumId="103" w15:restartNumberingAfterBreak="0">
    <w:nsid w:val="7D1E2FBA"/>
    <w:multiLevelType w:val="hybridMultilevel"/>
    <w:tmpl w:val="5C4A0ABA"/>
    <w:lvl w:ilvl="0" w:tplc="B7188318">
      <w:start w:val="1"/>
      <w:numFmt w:val="bullet"/>
      <w:lvlText w:val=""/>
      <w:lvlJc w:val="left"/>
      <w:pPr>
        <w:tabs>
          <w:tab w:val="num" w:pos="787"/>
        </w:tabs>
        <w:ind w:left="787" w:hanging="360"/>
      </w:pPr>
      <w:rPr>
        <w:rFonts w:ascii="Symbol" w:hAnsi="Symbol" w:cs="Symbol" w:hint="default"/>
      </w:rPr>
    </w:lvl>
    <w:lvl w:ilvl="1" w:tplc="04070019">
      <w:start w:val="1"/>
      <w:numFmt w:val="bullet"/>
      <w:lvlText w:val="o"/>
      <w:lvlJc w:val="left"/>
      <w:pPr>
        <w:tabs>
          <w:tab w:val="num" w:pos="1507"/>
        </w:tabs>
        <w:ind w:left="1507" w:hanging="360"/>
      </w:pPr>
      <w:rPr>
        <w:rFonts w:ascii="Courier New" w:hAnsi="Courier New" w:cs="Courier New" w:hint="default"/>
      </w:rPr>
    </w:lvl>
    <w:lvl w:ilvl="2" w:tplc="0407001B">
      <w:start w:val="1"/>
      <w:numFmt w:val="bullet"/>
      <w:lvlText w:val=""/>
      <w:lvlJc w:val="left"/>
      <w:pPr>
        <w:tabs>
          <w:tab w:val="num" w:pos="2227"/>
        </w:tabs>
        <w:ind w:left="2227" w:hanging="360"/>
      </w:pPr>
      <w:rPr>
        <w:rFonts w:ascii="Wingdings" w:hAnsi="Wingdings" w:cs="Wingdings" w:hint="default"/>
      </w:rPr>
    </w:lvl>
    <w:lvl w:ilvl="3" w:tplc="0407000F">
      <w:start w:val="1"/>
      <w:numFmt w:val="bullet"/>
      <w:lvlText w:val=""/>
      <w:lvlJc w:val="left"/>
      <w:pPr>
        <w:tabs>
          <w:tab w:val="num" w:pos="2947"/>
        </w:tabs>
        <w:ind w:left="2947" w:hanging="360"/>
      </w:pPr>
      <w:rPr>
        <w:rFonts w:ascii="Symbol" w:hAnsi="Symbol" w:cs="Symbol" w:hint="default"/>
      </w:rPr>
    </w:lvl>
    <w:lvl w:ilvl="4" w:tplc="04070019">
      <w:start w:val="1"/>
      <w:numFmt w:val="bullet"/>
      <w:lvlText w:val="o"/>
      <w:lvlJc w:val="left"/>
      <w:pPr>
        <w:tabs>
          <w:tab w:val="num" w:pos="3667"/>
        </w:tabs>
        <w:ind w:left="3667" w:hanging="360"/>
      </w:pPr>
      <w:rPr>
        <w:rFonts w:ascii="Courier New" w:hAnsi="Courier New" w:cs="Courier New" w:hint="default"/>
      </w:rPr>
    </w:lvl>
    <w:lvl w:ilvl="5" w:tplc="0407001B">
      <w:start w:val="1"/>
      <w:numFmt w:val="bullet"/>
      <w:lvlText w:val=""/>
      <w:lvlJc w:val="left"/>
      <w:pPr>
        <w:tabs>
          <w:tab w:val="num" w:pos="4387"/>
        </w:tabs>
        <w:ind w:left="4387" w:hanging="360"/>
      </w:pPr>
      <w:rPr>
        <w:rFonts w:ascii="Wingdings" w:hAnsi="Wingdings" w:cs="Wingdings" w:hint="default"/>
      </w:rPr>
    </w:lvl>
    <w:lvl w:ilvl="6" w:tplc="0407000F">
      <w:start w:val="1"/>
      <w:numFmt w:val="bullet"/>
      <w:lvlText w:val=""/>
      <w:lvlJc w:val="left"/>
      <w:pPr>
        <w:tabs>
          <w:tab w:val="num" w:pos="5107"/>
        </w:tabs>
        <w:ind w:left="5107" w:hanging="360"/>
      </w:pPr>
      <w:rPr>
        <w:rFonts w:ascii="Symbol" w:hAnsi="Symbol" w:cs="Symbol" w:hint="default"/>
      </w:rPr>
    </w:lvl>
    <w:lvl w:ilvl="7" w:tplc="04070019">
      <w:start w:val="1"/>
      <w:numFmt w:val="bullet"/>
      <w:lvlText w:val="o"/>
      <w:lvlJc w:val="left"/>
      <w:pPr>
        <w:tabs>
          <w:tab w:val="num" w:pos="5827"/>
        </w:tabs>
        <w:ind w:left="5827" w:hanging="360"/>
      </w:pPr>
      <w:rPr>
        <w:rFonts w:ascii="Courier New" w:hAnsi="Courier New" w:cs="Courier New" w:hint="default"/>
      </w:rPr>
    </w:lvl>
    <w:lvl w:ilvl="8" w:tplc="0407001B">
      <w:start w:val="1"/>
      <w:numFmt w:val="bullet"/>
      <w:lvlText w:val=""/>
      <w:lvlJc w:val="left"/>
      <w:pPr>
        <w:tabs>
          <w:tab w:val="num" w:pos="6547"/>
        </w:tabs>
        <w:ind w:left="6547" w:hanging="360"/>
      </w:pPr>
      <w:rPr>
        <w:rFonts w:ascii="Wingdings" w:hAnsi="Wingdings" w:cs="Wingdings" w:hint="default"/>
      </w:rPr>
    </w:lvl>
  </w:abstractNum>
  <w:abstractNum w:abstractNumId="104" w15:restartNumberingAfterBreak="0">
    <w:nsid w:val="7E5141B0"/>
    <w:multiLevelType w:val="hybridMultilevel"/>
    <w:tmpl w:val="73643C88"/>
    <w:lvl w:ilvl="0" w:tplc="C38C6458">
      <w:start w:val="61"/>
      <w:numFmt w:val="decimal"/>
      <w:lvlText w:val="ART. %1"/>
      <w:lvlJc w:val="left"/>
      <w:pPr>
        <w:tabs>
          <w:tab w:val="num" w:pos="360"/>
        </w:tabs>
        <w:ind w:left="360" w:hanging="360"/>
      </w:pPr>
      <w:rPr>
        <w:rFonts w:ascii="Verdana" w:hAnsi="Verdana" w:cs="Verdana" w:hint="default"/>
        <w:b/>
        <w:bCs/>
        <w:i w:val="0"/>
        <w:iCs w:val="0"/>
        <w:sz w:val="20"/>
        <w:szCs w:val="20"/>
      </w:rPr>
    </w:lvl>
    <w:lvl w:ilvl="1" w:tplc="08090019">
      <w:start w:val="1"/>
      <w:numFmt w:val="lowerLetter"/>
      <w:lvlText w:val="%2."/>
      <w:lvlJc w:val="left"/>
      <w:pPr>
        <w:ind w:left="135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5" w15:restartNumberingAfterBreak="0">
    <w:nsid w:val="7F0F246B"/>
    <w:multiLevelType w:val="hybridMultilevel"/>
    <w:tmpl w:val="3AB47B2E"/>
    <w:lvl w:ilvl="0" w:tplc="776AB1A4">
      <w:start w:val="1"/>
      <w:numFmt w:val="decimal"/>
      <w:lvlText w:val="(%1)"/>
      <w:lvlJc w:val="left"/>
      <w:pPr>
        <w:tabs>
          <w:tab w:val="num" w:pos="360"/>
        </w:tabs>
        <w:ind w:left="360" w:hanging="360"/>
      </w:pPr>
      <w:rPr>
        <w:rFonts w:hint="default"/>
        <w:b w:val="0"/>
        <w:bCs w:val="0"/>
        <w:color w:val="auto"/>
      </w:rPr>
    </w:lvl>
    <w:lvl w:ilvl="1" w:tplc="776AB1A4">
      <w:start w:val="1"/>
      <w:numFmt w:val="lowerLetter"/>
      <w:lvlText w:val="%2."/>
      <w:lvlJc w:val="left"/>
      <w:pPr>
        <w:tabs>
          <w:tab w:val="num" w:pos="1440"/>
        </w:tabs>
        <w:ind w:left="1440" w:hanging="360"/>
      </w:pPr>
    </w:lvl>
    <w:lvl w:ilvl="2" w:tplc="E962161C">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4"/>
  </w:num>
  <w:num w:numId="2">
    <w:abstractNumId w:val="58"/>
  </w:num>
  <w:num w:numId="3">
    <w:abstractNumId w:val="76"/>
  </w:num>
  <w:num w:numId="4">
    <w:abstractNumId w:val="7"/>
  </w:num>
  <w:num w:numId="5">
    <w:abstractNumId w:val="51"/>
  </w:num>
  <w:num w:numId="6">
    <w:abstractNumId w:val="77"/>
  </w:num>
  <w:num w:numId="7">
    <w:abstractNumId w:val="102"/>
  </w:num>
  <w:num w:numId="8">
    <w:abstractNumId w:val="24"/>
  </w:num>
  <w:num w:numId="9">
    <w:abstractNumId w:val="28"/>
  </w:num>
  <w:num w:numId="10">
    <w:abstractNumId w:val="10"/>
  </w:num>
  <w:num w:numId="11">
    <w:abstractNumId w:val="96"/>
  </w:num>
  <w:num w:numId="12">
    <w:abstractNumId w:val="19"/>
  </w:num>
  <w:num w:numId="13">
    <w:abstractNumId w:val="14"/>
  </w:num>
  <w:num w:numId="14">
    <w:abstractNumId w:val="75"/>
  </w:num>
  <w:num w:numId="15">
    <w:abstractNumId w:val="50"/>
  </w:num>
  <w:num w:numId="16">
    <w:abstractNumId w:val="1"/>
  </w:num>
  <w:num w:numId="17">
    <w:abstractNumId w:val="4"/>
  </w:num>
  <w:num w:numId="18">
    <w:abstractNumId w:val="16"/>
  </w:num>
  <w:num w:numId="19">
    <w:abstractNumId w:val="27"/>
  </w:num>
  <w:num w:numId="20">
    <w:abstractNumId w:val="57"/>
  </w:num>
  <w:num w:numId="21">
    <w:abstractNumId w:val="70"/>
  </w:num>
  <w:num w:numId="22">
    <w:abstractNumId w:val="95"/>
  </w:num>
  <w:num w:numId="23">
    <w:abstractNumId w:val="43"/>
  </w:num>
  <w:num w:numId="24">
    <w:abstractNumId w:val="56"/>
  </w:num>
  <w:num w:numId="25">
    <w:abstractNumId w:val="55"/>
  </w:num>
  <w:num w:numId="26">
    <w:abstractNumId w:val="21"/>
  </w:num>
  <w:num w:numId="27">
    <w:abstractNumId w:val="79"/>
  </w:num>
  <w:num w:numId="28">
    <w:abstractNumId w:val="5"/>
  </w:num>
  <w:num w:numId="29">
    <w:abstractNumId w:val="47"/>
  </w:num>
  <w:num w:numId="30">
    <w:abstractNumId w:val="13"/>
  </w:num>
  <w:num w:numId="31">
    <w:abstractNumId w:val="83"/>
  </w:num>
  <w:num w:numId="32">
    <w:abstractNumId w:val="42"/>
  </w:num>
  <w:num w:numId="33">
    <w:abstractNumId w:val="48"/>
  </w:num>
  <w:num w:numId="34">
    <w:abstractNumId w:val="85"/>
  </w:num>
  <w:num w:numId="35">
    <w:abstractNumId w:val="89"/>
  </w:num>
  <w:num w:numId="36">
    <w:abstractNumId w:val="68"/>
  </w:num>
  <w:num w:numId="37">
    <w:abstractNumId w:val="45"/>
  </w:num>
  <w:num w:numId="38">
    <w:abstractNumId w:val="78"/>
  </w:num>
  <w:num w:numId="39">
    <w:abstractNumId w:val="103"/>
  </w:num>
  <w:num w:numId="40">
    <w:abstractNumId w:val="94"/>
  </w:num>
  <w:num w:numId="41">
    <w:abstractNumId w:val="17"/>
  </w:num>
  <w:num w:numId="42">
    <w:abstractNumId w:val="40"/>
  </w:num>
  <w:num w:numId="43">
    <w:abstractNumId w:val="104"/>
  </w:num>
  <w:num w:numId="44">
    <w:abstractNumId w:val="99"/>
  </w:num>
  <w:num w:numId="45">
    <w:abstractNumId w:val="41"/>
  </w:num>
  <w:num w:numId="46">
    <w:abstractNumId w:val="100"/>
  </w:num>
  <w:num w:numId="47">
    <w:abstractNumId w:val="6"/>
  </w:num>
  <w:num w:numId="48">
    <w:abstractNumId w:val="32"/>
  </w:num>
  <w:num w:numId="49">
    <w:abstractNumId w:val="30"/>
  </w:num>
  <w:num w:numId="50">
    <w:abstractNumId w:val="23"/>
  </w:num>
  <w:num w:numId="51">
    <w:abstractNumId w:val="105"/>
  </w:num>
  <w:num w:numId="52">
    <w:abstractNumId w:val="90"/>
  </w:num>
  <w:num w:numId="53">
    <w:abstractNumId w:val="62"/>
  </w:num>
  <w:num w:numId="54">
    <w:abstractNumId w:val="61"/>
  </w:num>
  <w:num w:numId="55">
    <w:abstractNumId w:val="98"/>
  </w:num>
  <w:num w:numId="56">
    <w:abstractNumId w:val="74"/>
  </w:num>
  <w:num w:numId="57">
    <w:abstractNumId w:val="81"/>
  </w:num>
  <w:num w:numId="58">
    <w:abstractNumId w:val="86"/>
  </w:num>
  <w:num w:numId="59">
    <w:abstractNumId w:val="8"/>
  </w:num>
  <w:num w:numId="60">
    <w:abstractNumId w:val="20"/>
  </w:num>
  <w:num w:numId="61">
    <w:abstractNumId w:val="18"/>
  </w:num>
  <w:num w:numId="62">
    <w:abstractNumId w:val="44"/>
  </w:num>
  <w:num w:numId="63">
    <w:abstractNumId w:val="29"/>
  </w:num>
  <w:num w:numId="64">
    <w:abstractNumId w:val="15"/>
  </w:num>
  <w:num w:numId="65">
    <w:abstractNumId w:val="3"/>
  </w:num>
  <w:num w:numId="66">
    <w:abstractNumId w:val="36"/>
  </w:num>
  <w:num w:numId="67">
    <w:abstractNumId w:val="52"/>
  </w:num>
  <w:num w:numId="68">
    <w:abstractNumId w:val="31"/>
  </w:num>
  <w:num w:numId="69">
    <w:abstractNumId w:val="53"/>
  </w:num>
  <w:num w:numId="70">
    <w:abstractNumId w:val="97"/>
  </w:num>
  <w:num w:numId="71">
    <w:abstractNumId w:val="49"/>
  </w:num>
  <w:num w:numId="72">
    <w:abstractNumId w:val="65"/>
  </w:num>
  <w:num w:numId="73">
    <w:abstractNumId w:val="39"/>
  </w:num>
  <w:num w:numId="74">
    <w:abstractNumId w:val="82"/>
  </w:num>
  <w:num w:numId="75">
    <w:abstractNumId w:val="25"/>
  </w:num>
  <w:num w:numId="76">
    <w:abstractNumId w:val="84"/>
  </w:num>
  <w:num w:numId="77">
    <w:abstractNumId w:val="33"/>
  </w:num>
  <w:num w:numId="78">
    <w:abstractNumId w:val="35"/>
  </w:num>
  <w:num w:numId="79">
    <w:abstractNumId w:val="59"/>
  </w:num>
  <w:num w:numId="80">
    <w:abstractNumId w:val="26"/>
  </w:num>
  <w:num w:numId="81">
    <w:abstractNumId w:val="69"/>
  </w:num>
  <w:num w:numId="82">
    <w:abstractNumId w:val="11"/>
  </w:num>
  <w:num w:numId="83">
    <w:abstractNumId w:val="91"/>
  </w:num>
  <w:num w:numId="84">
    <w:abstractNumId w:val="66"/>
  </w:num>
  <w:num w:numId="85">
    <w:abstractNumId w:val="12"/>
  </w:num>
  <w:num w:numId="86">
    <w:abstractNumId w:val="73"/>
  </w:num>
  <w:num w:numId="87">
    <w:abstractNumId w:val="67"/>
  </w:num>
  <w:num w:numId="88">
    <w:abstractNumId w:val="34"/>
  </w:num>
  <w:num w:numId="89">
    <w:abstractNumId w:val="92"/>
  </w:num>
  <w:num w:numId="90">
    <w:abstractNumId w:val="71"/>
  </w:num>
  <w:num w:numId="91">
    <w:abstractNumId w:val="101"/>
  </w:num>
  <w:num w:numId="92">
    <w:abstractNumId w:val="46"/>
  </w:num>
  <w:num w:numId="93">
    <w:abstractNumId w:val="63"/>
  </w:num>
  <w:num w:numId="94">
    <w:abstractNumId w:val="72"/>
  </w:num>
  <w:num w:numId="95">
    <w:abstractNumId w:val="22"/>
  </w:num>
  <w:num w:numId="96">
    <w:abstractNumId w:val="37"/>
  </w:num>
  <w:num w:numId="97">
    <w:abstractNumId w:val="88"/>
  </w:num>
  <w:num w:numId="98">
    <w:abstractNumId w:val="9"/>
  </w:num>
  <w:num w:numId="99">
    <w:abstractNumId w:val="38"/>
  </w:num>
  <w:num w:numId="100">
    <w:abstractNumId w:val="2"/>
  </w:num>
  <w:num w:numId="101">
    <w:abstractNumId w:val="60"/>
  </w:num>
  <w:num w:numId="102">
    <w:abstractNumId w:val="93"/>
  </w:num>
  <w:num w:numId="103">
    <w:abstractNumId w:val="80"/>
  </w:num>
  <w:num w:numId="104">
    <w:abstractNumId w:val="64"/>
  </w:num>
  <w:num w:numId="105">
    <w:abstractNumId w:val="8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88CB4C-96CB-454E-95EE-EDC74C8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hd w:val="clear" w:color="auto" w:fill="CCFFCC"/>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style>
  <w:style w:type="paragraph" w:styleId="TOC1">
    <w:name w:val="toc 1"/>
    <w:basedOn w:val="Normal"/>
    <w:next w:val="Normal"/>
    <w:autoRedefine/>
    <w:uiPriority w:val="99"/>
    <w:semiHidden/>
    <w:pPr>
      <w:tabs>
        <w:tab w:val="right" w:leader="dot" w:pos="9019"/>
      </w:tabs>
      <w:spacing w:after="120" w:line="288" w:lineRule="auto"/>
      <w:ind w:left="1474" w:hanging="1474"/>
      <w:jc w:val="both"/>
    </w:pPr>
    <w:rPr>
      <w:rFonts w:ascii="Verdana" w:hAnsi="Verdana" w:cs="Verdana"/>
      <w:b/>
      <w:bCs/>
      <w:noProof/>
      <w:sz w:val="20"/>
      <w:szCs w:val="20"/>
      <w:lang w:val="ro-RO"/>
    </w:rPr>
  </w:style>
  <w:style w:type="paragraph" w:styleId="TOC2">
    <w:name w:val="toc 2"/>
    <w:basedOn w:val="Normal"/>
    <w:next w:val="Normal"/>
    <w:autoRedefine/>
    <w:uiPriority w:val="99"/>
    <w:semiHidden/>
    <w:pPr>
      <w:tabs>
        <w:tab w:val="left" w:pos="1993"/>
        <w:tab w:val="right" w:leader="dot" w:pos="9019"/>
      </w:tabs>
      <w:spacing w:after="120" w:line="288" w:lineRule="auto"/>
      <w:ind w:left="1418" w:hanging="1418"/>
    </w:pPr>
    <w:rPr>
      <w:rFonts w:ascii="Verdana" w:hAnsi="Verdana" w:cs="Verdana"/>
      <w:b/>
      <w:bCs/>
      <w:lang w:val="ro-RO"/>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szCs w:val="24"/>
    </w:rPr>
  </w:style>
  <w:style w:type="character" w:customStyle="1" w:styleId="tli1">
    <w:name w:val="tli1"/>
    <w:basedOn w:val="DefaultParagraphFont"/>
    <w:uiPriority w:val="99"/>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customStyle="1" w:styleId="tpt1">
    <w:name w:val="tpt1"/>
    <w:basedOn w:val="DefaultParagraphFont"/>
    <w:uiPriority w:val="99"/>
  </w:style>
  <w:style w:type="character" w:customStyle="1" w:styleId="tpa1">
    <w:name w:val="tpa1"/>
    <w:basedOn w:val="DefaultParagraphFont"/>
    <w:uiPriority w:val="99"/>
  </w:style>
  <w:style w:type="character" w:customStyle="1" w:styleId="li1">
    <w:name w:val="li1"/>
    <w:uiPriority w:val="99"/>
    <w:rPr>
      <w:b/>
      <w:bCs/>
      <w:color w:val="auto"/>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Pr>
      <w:vertAlign w:val="superscript"/>
    </w:rPr>
  </w:style>
  <w:style w:type="paragraph" w:customStyle="1" w:styleId="StyleHeading1Verdana14ptCenteredBefore0ptAfter">
    <w:name w:val="Style Heading 1 + Verdana 14 pt Centered Before:  0 pt After:  ..."/>
    <w:basedOn w:val="Heading1"/>
    <w:uiPriority w:val="99"/>
    <w:pPr>
      <w:shd w:val="clear" w:color="auto" w:fill="99CCFF"/>
      <w:spacing w:before="0" w:after="120" w:line="288" w:lineRule="auto"/>
      <w:jc w:val="center"/>
    </w:pPr>
    <w:rPr>
      <w:rFonts w:ascii="Verdana" w:hAnsi="Verdana" w:cs="Verdana"/>
      <w:sz w:val="28"/>
      <w:szCs w:val="28"/>
    </w:rPr>
  </w:style>
  <w:style w:type="paragraph" w:styleId="ListParagraph">
    <w:name w:val="List Paragraph"/>
    <w:basedOn w:val="Normal"/>
    <w:uiPriority w:val="99"/>
    <w:qFormat/>
    <w:pPr>
      <w:spacing w:after="200" w:line="276" w:lineRule="auto"/>
      <w:ind w:left="720"/>
    </w:pPr>
    <w:rPr>
      <w:rFonts w:ascii="Calibri" w:hAnsi="Calibri" w:cs="Calibri"/>
      <w:sz w:val="22"/>
      <w:szCs w:val="22"/>
      <w:lang w:val="ro-RO"/>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2127">
      <w:marLeft w:val="0"/>
      <w:marRight w:val="0"/>
      <w:marTop w:val="0"/>
      <w:marBottom w:val="0"/>
      <w:divBdr>
        <w:top w:val="none" w:sz="0" w:space="0" w:color="auto"/>
        <w:left w:val="none" w:sz="0" w:space="0" w:color="auto"/>
        <w:bottom w:val="none" w:sz="0" w:space="0" w:color="auto"/>
        <w:right w:val="none" w:sz="0" w:space="0" w:color="auto"/>
      </w:divBdr>
    </w:div>
    <w:div w:id="331492128">
      <w:marLeft w:val="0"/>
      <w:marRight w:val="0"/>
      <w:marTop w:val="0"/>
      <w:marBottom w:val="0"/>
      <w:divBdr>
        <w:top w:val="none" w:sz="0" w:space="0" w:color="auto"/>
        <w:left w:val="none" w:sz="0" w:space="0" w:color="auto"/>
        <w:bottom w:val="none" w:sz="0" w:space="0" w:color="auto"/>
        <w:right w:val="none" w:sz="0" w:space="0" w:color="auto"/>
      </w:divBdr>
    </w:div>
    <w:div w:id="331492129">
      <w:marLeft w:val="0"/>
      <w:marRight w:val="0"/>
      <w:marTop w:val="0"/>
      <w:marBottom w:val="0"/>
      <w:divBdr>
        <w:top w:val="none" w:sz="0" w:space="0" w:color="auto"/>
        <w:left w:val="none" w:sz="0" w:space="0" w:color="auto"/>
        <w:bottom w:val="none" w:sz="0" w:space="0" w:color="auto"/>
        <w:right w:val="none" w:sz="0" w:space="0" w:color="auto"/>
      </w:divBdr>
    </w:div>
    <w:div w:id="331492130">
      <w:marLeft w:val="0"/>
      <w:marRight w:val="0"/>
      <w:marTop w:val="0"/>
      <w:marBottom w:val="0"/>
      <w:divBdr>
        <w:top w:val="none" w:sz="0" w:space="0" w:color="auto"/>
        <w:left w:val="none" w:sz="0" w:space="0" w:color="auto"/>
        <w:bottom w:val="none" w:sz="0" w:space="0" w:color="auto"/>
        <w:right w:val="none" w:sz="0" w:space="0" w:color="auto"/>
      </w:divBdr>
    </w:div>
    <w:div w:id="331492131">
      <w:marLeft w:val="0"/>
      <w:marRight w:val="0"/>
      <w:marTop w:val="0"/>
      <w:marBottom w:val="0"/>
      <w:divBdr>
        <w:top w:val="none" w:sz="0" w:space="0" w:color="auto"/>
        <w:left w:val="none" w:sz="0" w:space="0" w:color="auto"/>
        <w:bottom w:val="none" w:sz="0" w:space="0" w:color="auto"/>
        <w:right w:val="none" w:sz="0" w:space="0" w:color="auto"/>
      </w:divBdr>
    </w:div>
    <w:div w:id="33149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28277</Words>
  <Characters>161182</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Regulament salubrizare Caras Severin</vt:lpstr>
    </vt:vector>
  </TitlesOfParts>
  <Company>Ramboll</Company>
  <LinksUpToDate>false</LinksUpToDate>
  <CharactersWithSpaces>189081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salubrizare Caras Severin</dc:title>
  <dc:creator>Alina Maria Trentea</dc:creator>
  <cp:lastModifiedBy>User</cp:lastModifiedBy>
  <cp:revision>2</cp:revision>
  <cp:lastPrinted>2014-11-03T12:12:00Z</cp:lastPrinted>
  <dcterms:created xsi:type="dcterms:W3CDTF">2020-06-24T08:36:00Z</dcterms:created>
  <dcterms:modified xsi:type="dcterms:W3CDTF">2020-06-24T08:36:00Z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eportPageNumber">
    <vt:lpwstr>1</vt:lpwstr>
  </property>
</Properties>
</file>